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0A" w:rsidRPr="003F1DD7" w:rsidRDefault="00373231" w:rsidP="003C387A">
      <w:pPr>
        <w:jc w:val="center"/>
        <w:rPr>
          <w:b/>
          <w:sz w:val="28"/>
          <w:szCs w:val="28"/>
          <w:lang w:val="pt-BR"/>
        </w:rPr>
      </w:pPr>
      <w:r w:rsidRPr="003F1DD7">
        <w:rPr>
          <w:b/>
          <w:sz w:val="28"/>
          <w:szCs w:val="28"/>
          <w:lang w:val="pt-BR"/>
        </w:rPr>
        <w:t>FORMULARIO TERAPEUTICO</w:t>
      </w:r>
      <w:r w:rsidR="00953521" w:rsidRPr="003F1DD7">
        <w:rPr>
          <w:b/>
          <w:sz w:val="28"/>
          <w:szCs w:val="28"/>
          <w:lang w:val="pt-BR"/>
        </w:rPr>
        <w:t xml:space="preserve"> ISS-SEMPRE</w:t>
      </w:r>
      <w:r w:rsidRPr="003F1DD7">
        <w:rPr>
          <w:b/>
          <w:sz w:val="28"/>
          <w:szCs w:val="28"/>
          <w:lang w:val="pt-BR"/>
        </w:rPr>
        <w:t xml:space="preserve"> </w:t>
      </w:r>
    </w:p>
    <w:p w:rsidR="00183075" w:rsidRDefault="008D230A" w:rsidP="003C387A">
      <w:pPr>
        <w:jc w:val="center"/>
        <w:rPr>
          <w:b/>
          <w:sz w:val="28"/>
          <w:szCs w:val="28"/>
          <w:lang w:val="pt-BR"/>
        </w:rPr>
      </w:pPr>
      <w:r w:rsidRPr="003F1DD7">
        <w:rPr>
          <w:b/>
          <w:sz w:val="28"/>
          <w:szCs w:val="28"/>
          <w:lang w:val="pt-BR"/>
        </w:rPr>
        <w:t xml:space="preserve">RECOMENDACIONES </w:t>
      </w:r>
      <w:r w:rsidR="00183075" w:rsidRPr="003F1DD7">
        <w:rPr>
          <w:b/>
          <w:sz w:val="28"/>
          <w:szCs w:val="28"/>
          <w:lang w:val="pt-BR"/>
        </w:rPr>
        <w:t>DE USO</w:t>
      </w:r>
      <w:r w:rsidR="00A402DD" w:rsidRPr="003F1DD7">
        <w:rPr>
          <w:b/>
          <w:sz w:val="28"/>
          <w:szCs w:val="28"/>
          <w:lang w:val="pt-BR"/>
        </w:rPr>
        <w:t xml:space="preserve"> 2019</w:t>
      </w:r>
    </w:p>
    <w:p w:rsidR="003F1DD7" w:rsidRPr="003F1DD7" w:rsidRDefault="003F1DD7" w:rsidP="003C387A">
      <w:pPr>
        <w:jc w:val="center"/>
        <w:rPr>
          <w:b/>
          <w:sz w:val="28"/>
          <w:szCs w:val="28"/>
          <w:lang w:val="pt-BR"/>
        </w:rPr>
      </w:pPr>
    </w:p>
    <w:p w:rsidR="00875963" w:rsidRPr="003F1DD7" w:rsidRDefault="00875963" w:rsidP="00396EBC">
      <w:pPr>
        <w:pStyle w:val="Textosinformato"/>
        <w:numPr>
          <w:ilvl w:val="0"/>
          <w:numId w:val="16"/>
        </w:numPr>
        <w:jc w:val="both"/>
        <w:rPr>
          <w:rFonts w:asciiTheme="minorHAnsi" w:eastAsiaTheme="minorHAnsi" w:hAnsiTheme="minorHAnsi" w:cstheme="minorBidi"/>
          <w:sz w:val="22"/>
          <w:szCs w:val="22"/>
          <w:lang w:val="es-ES" w:eastAsia="en-US"/>
        </w:rPr>
      </w:pPr>
      <w:r w:rsidRPr="003F1DD7">
        <w:rPr>
          <w:rFonts w:asciiTheme="minorHAnsi" w:eastAsiaTheme="minorHAnsi" w:hAnsiTheme="minorHAnsi" w:cstheme="minorBidi"/>
          <w:sz w:val="22"/>
          <w:szCs w:val="22"/>
          <w:lang w:val="es-ES" w:eastAsia="en-US"/>
        </w:rPr>
        <w:t>INTRODUCCION</w:t>
      </w:r>
    </w:p>
    <w:p w:rsidR="00875963" w:rsidRPr="00875963" w:rsidRDefault="00875963" w:rsidP="00875963">
      <w:pPr>
        <w:pStyle w:val="Textosinformato"/>
        <w:jc w:val="both"/>
        <w:rPr>
          <w:rFonts w:asciiTheme="minorHAnsi" w:eastAsiaTheme="minorHAnsi" w:hAnsiTheme="minorHAnsi" w:cstheme="minorBidi"/>
          <w:b w:val="0"/>
          <w:sz w:val="22"/>
          <w:szCs w:val="22"/>
          <w:lang w:val="es-ES" w:eastAsia="en-US"/>
        </w:rPr>
      </w:pPr>
    </w:p>
    <w:p w:rsidR="00875963" w:rsidRPr="00875963" w:rsidRDefault="00875963" w:rsidP="00875963">
      <w:pPr>
        <w:pStyle w:val="Textosinformato"/>
        <w:tabs>
          <w:tab w:val="num" w:pos="1080"/>
        </w:tabs>
        <w:jc w:val="both"/>
        <w:rPr>
          <w:rFonts w:asciiTheme="minorHAnsi" w:eastAsiaTheme="minorHAnsi" w:hAnsiTheme="minorHAnsi" w:cstheme="minorBidi"/>
          <w:b w:val="0"/>
          <w:sz w:val="22"/>
          <w:szCs w:val="22"/>
          <w:lang w:val="es-ES" w:eastAsia="en-US"/>
        </w:rPr>
      </w:pPr>
    </w:p>
    <w:p w:rsidR="00875963" w:rsidRPr="00875963" w:rsidRDefault="00875963" w:rsidP="00875963">
      <w:pPr>
        <w:pStyle w:val="Textoindependiente"/>
        <w:rPr>
          <w:rFonts w:asciiTheme="minorHAnsi" w:eastAsiaTheme="minorHAnsi" w:hAnsiTheme="minorHAnsi" w:cstheme="minorBidi"/>
          <w:snapToGrid/>
          <w:sz w:val="22"/>
          <w:szCs w:val="22"/>
          <w:lang w:eastAsia="en-US"/>
        </w:rPr>
      </w:pPr>
      <w:r w:rsidRPr="00875963">
        <w:rPr>
          <w:rFonts w:asciiTheme="minorHAnsi" w:eastAsiaTheme="minorHAnsi" w:hAnsiTheme="minorHAnsi" w:cstheme="minorBidi"/>
          <w:snapToGrid/>
          <w:sz w:val="22"/>
          <w:szCs w:val="22"/>
          <w:lang w:eastAsia="en-US"/>
        </w:rPr>
        <w:t>Las presentes recomendaciones reseñan las patologías y/o situaciones clínicas particulares donde los fármacos incluidos en el FO</w:t>
      </w:r>
      <w:r w:rsidR="00994A98">
        <w:rPr>
          <w:rFonts w:asciiTheme="minorHAnsi" w:eastAsiaTheme="minorHAnsi" w:hAnsiTheme="minorHAnsi" w:cstheme="minorBidi"/>
          <w:snapToGrid/>
          <w:sz w:val="22"/>
          <w:szCs w:val="22"/>
          <w:lang w:eastAsia="en-US"/>
        </w:rPr>
        <w:t xml:space="preserve">RMULARIO TERAPÉUTICO SEMPRE 2019 </w:t>
      </w:r>
      <w:r w:rsidRPr="00875963">
        <w:rPr>
          <w:rFonts w:asciiTheme="minorHAnsi" w:eastAsiaTheme="minorHAnsi" w:hAnsiTheme="minorHAnsi" w:cstheme="minorBidi"/>
          <w:snapToGrid/>
          <w:sz w:val="22"/>
          <w:szCs w:val="22"/>
          <w:lang w:eastAsia="en-US"/>
        </w:rPr>
        <w:t xml:space="preserve">han mostrado beneficios relevantes con riesgos aceptables, constituyendo intervenciones farmacológicas de alto valor terapéutico. </w:t>
      </w:r>
    </w:p>
    <w:p w:rsidR="00875963" w:rsidRPr="00875963" w:rsidRDefault="00875963" w:rsidP="00875963">
      <w:pPr>
        <w:jc w:val="both"/>
      </w:pPr>
    </w:p>
    <w:p w:rsidR="00875963" w:rsidRPr="00875963" w:rsidRDefault="00875963" w:rsidP="00875963">
      <w:pPr>
        <w:jc w:val="both"/>
      </w:pPr>
      <w:r w:rsidRPr="00875963">
        <w:t xml:space="preserve">Elaboradas siguiendo los criterios de selección de medicamentos (OMS) y la evidencia científica de mayor fortaleza disponible, representan para el INSTITUTO DE SEGURIDAD SOCIAL (ISS) y su SERVICIO MEDICO PREVISIONAL (SEMPRE) verdaderos INDICADORES DE CALIDAD PRESTACIONAL. </w:t>
      </w:r>
    </w:p>
    <w:p w:rsidR="00875963" w:rsidRPr="00875963" w:rsidRDefault="00875963" w:rsidP="00875963">
      <w:pPr>
        <w:jc w:val="both"/>
      </w:pPr>
    </w:p>
    <w:p w:rsidR="00875963" w:rsidRPr="00875963" w:rsidRDefault="00875963" w:rsidP="00875963">
      <w:pPr>
        <w:jc w:val="both"/>
      </w:pPr>
      <w:r w:rsidRPr="00875963">
        <w:t>En su carácter de Obra Social Provincial FINANCIADORA de prestaciones de salud, el ISS-SEMPRE tendrá en cuenta estos INDICADORES para el monitoreo, seguimiento y evaluación de la calidad de las prestaciones farmacéuticas que reciben sus afiliados y beneficiarios.</w:t>
      </w:r>
    </w:p>
    <w:p w:rsidR="00875963" w:rsidRPr="00875963" w:rsidRDefault="00875963" w:rsidP="00875963">
      <w:pPr>
        <w:pStyle w:val="Textoindependiente"/>
        <w:rPr>
          <w:rFonts w:asciiTheme="minorHAnsi" w:eastAsiaTheme="minorHAnsi" w:hAnsiTheme="minorHAnsi" w:cstheme="minorBidi"/>
          <w:snapToGrid/>
          <w:sz w:val="22"/>
          <w:szCs w:val="22"/>
          <w:lang w:eastAsia="en-US"/>
        </w:rPr>
      </w:pPr>
    </w:p>
    <w:p w:rsidR="00875963" w:rsidRPr="00875963" w:rsidRDefault="00875963" w:rsidP="00875963">
      <w:pPr>
        <w:pStyle w:val="Textoindependiente"/>
        <w:rPr>
          <w:rFonts w:asciiTheme="minorHAnsi" w:eastAsiaTheme="minorHAnsi" w:hAnsiTheme="minorHAnsi" w:cstheme="minorBidi"/>
          <w:snapToGrid/>
          <w:sz w:val="22"/>
          <w:szCs w:val="22"/>
          <w:lang w:eastAsia="en-US"/>
        </w:rPr>
      </w:pPr>
      <w:r w:rsidRPr="00875963">
        <w:rPr>
          <w:rFonts w:asciiTheme="minorHAnsi" w:eastAsiaTheme="minorHAnsi" w:hAnsiTheme="minorHAnsi" w:cstheme="minorBidi"/>
          <w:snapToGrid/>
          <w:sz w:val="22"/>
          <w:szCs w:val="22"/>
          <w:lang w:eastAsia="en-US"/>
        </w:rPr>
        <w:t xml:space="preserve">EL Directorio del Instituto de Seguridad Social de la Provincia de </w:t>
      </w:r>
      <w:smartTag w:uri="urn:schemas-microsoft-com:office:smarttags" w:element="PersonName">
        <w:smartTagPr>
          <w:attr w:name="ProductID" w:val="La Pampa"/>
        </w:smartTagPr>
        <w:r w:rsidRPr="00875963">
          <w:rPr>
            <w:rFonts w:asciiTheme="minorHAnsi" w:eastAsiaTheme="minorHAnsi" w:hAnsiTheme="minorHAnsi" w:cstheme="minorBidi"/>
            <w:snapToGrid/>
            <w:sz w:val="22"/>
            <w:szCs w:val="22"/>
            <w:lang w:eastAsia="en-US"/>
          </w:rPr>
          <w:t>La Pampa</w:t>
        </w:r>
      </w:smartTag>
      <w:r w:rsidRPr="00875963">
        <w:rPr>
          <w:rFonts w:asciiTheme="minorHAnsi" w:eastAsiaTheme="minorHAnsi" w:hAnsiTheme="minorHAnsi" w:cstheme="minorBidi"/>
          <w:snapToGrid/>
          <w:sz w:val="22"/>
          <w:szCs w:val="22"/>
          <w:lang w:eastAsia="en-US"/>
        </w:rPr>
        <w:t xml:space="preserve"> considera además, que constituyen un aporte para la práctica clínica.</w:t>
      </w:r>
    </w:p>
    <w:p w:rsidR="00875963" w:rsidRPr="00B1108B" w:rsidRDefault="00875963" w:rsidP="00875963">
      <w:pPr>
        <w:pStyle w:val="Textosinformato"/>
        <w:tabs>
          <w:tab w:val="num" w:pos="1080"/>
        </w:tabs>
        <w:jc w:val="both"/>
        <w:rPr>
          <w:rFonts w:ascii="Verdana" w:hAnsi="Verdana" w:cs="Arial"/>
          <w:bCs/>
          <w:sz w:val="22"/>
          <w:szCs w:val="22"/>
        </w:rPr>
      </w:pPr>
    </w:p>
    <w:p w:rsidR="003634C2" w:rsidRPr="003F1DD7" w:rsidRDefault="003634C2" w:rsidP="003634C2">
      <w:pPr>
        <w:tabs>
          <w:tab w:val="left" w:pos="1320"/>
        </w:tabs>
        <w:ind w:left="113"/>
        <w:rPr>
          <w:b/>
          <w:i/>
          <w:color w:val="00B050"/>
        </w:rPr>
      </w:pPr>
      <w:r w:rsidRPr="003F1DD7">
        <w:rPr>
          <w:b/>
          <w:i/>
          <w:color w:val="00B050"/>
        </w:rPr>
        <w:t>A02BA</w:t>
      </w:r>
      <w:r w:rsidRPr="003F1DD7">
        <w:rPr>
          <w:b/>
          <w:i/>
          <w:color w:val="00B050"/>
        </w:rPr>
        <w:tab/>
        <w:t>ANTAGONISTAS DE RECEPTORES H2</w:t>
      </w:r>
    </w:p>
    <w:p w:rsidR="003634C2" w:rsidRPr="00A555C1" w:rsidRDefault="003634C2" w:rsidP="00A555C1">
      <w:pPr>
        <w:jc w:val="both"/>
        <w:rPr>
          <w:b/>
          <w:i/>
          <w:color w:val="00B050"/>
        </w:rPr>
      </w:pPr>
      <w:r w:rsidRPr="00A555C1">
        <w:rPr>
          <w:b/>
          <w:i/>
          <w:color w:val="00B050"/>
        </w:rPr>
        <w:t>A02BA02</w:t>
      </w:r>
      <w:r w:rsidRPr="00A555C1">
        <w:rPr>
          <w:b/>
          <w:i/>
          <w:color w:val="00B050"/>
        </w:rPr>
        <w:tab/>
      </w:r>
      <w:r w:rsidRPr="003F1DD7">
        <w:rPr>
          <w:b/>
          <w:i/>
          <w:color w:val="00B050"/>
        </w:rPr>
        <w:t>RANITIDINA</w:t>
      </w:r>
      <w:r w:rsidRPr="00A555C1">
        <w:rPr>
          <w:b/>
          <w:i/>
          <w:color w:val="00B050"/>
        </w:rPr>
        <w:t xml:space="preserve"> </w:t>
      </w:r>
    </w:p>
    <w:p w:rsidR="003634C2" w:rsidRP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 xml:space="preserve">Ulcera gástrica o duodenal 150mg dos veces al día o 300 mg en dosis única por la noche. </w:t>
      </w:r>
    </w:p>
    <w:p w:rsidR="003634C2" w:rsidRP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 xml:space="preserve">Ulcera gástrica o duodenal, asociada a ATB en </w:t>
      </w:r>
      <w:proofErr w:type="spellStart"/>
      <w:r w:rsidRPr="003634C2">
        <w:rPr>
          <w:rFonts w:asciiTheme="minorHAnsi" w:eastAsiaTheme="minorHAnsi" w:hAnsiTheme="minorHAnsi" w:cstheme="minorBidi"/>
          <w:b w:val="0"/>
          <w:sz w:val="22"/>
          <w:szCs w:val="22"/>
          <w:lang w:val="es-ES" w:eastAsia="en-US"/>
        </w:rPr>
        <w:t>regimenes</w:t>
      </w:r>
      <w:proofErr w:type="spellEnd"/>
      <w:r w:rsidRPr="003634C2">
        <w:rPr>
          <w:rFonts w:asciiTheme="minorHAnsi" w:eastAsiaTheme="minorHAnsi" w:hAnsiTheme="minorHAnsi" w:cstheme="minorBidi"/>
          <w:b w:val="0"/>
          <w:sz w:val="22"/>
          <w:szCs w:val="22"/>
          <w:lang w:val="es-ES" w:eastAsia="en-US"/>
        </w:rPr>
        <w:t xml:space="preserve"> de erradicación de </w:t>
      </w:r>
      <w:proofErr w:type="spellStart"/>
      <w:r w:rsidRPr="003634C2">
        <w:rPr>
          <w:rFonts w:asciiTheme="minorHAnsi" w:eastAsiaTheme="minorHAnsi" w:hAnsiTheme="minorHAnsi" w:cstheme="minorBidi"/>
          <w:b w:val="0"/>
          <w:sz w:val="22"/>
          <w:szCs w:val="22"/>
          <w:lang w:val="es-ES" w:eastAsia="en-US"/>
        </w:rPr>
        <w:t>Helicobacter</w:t>
      </w:r>
      <w:proofErr w:type="spellEnd"/>
      <w:r w:rsidRPr="003634C2">
        <w:rPr>
          <w:rFonts w:asciiTheme="minorHAnsi" w:eastAsiaTheme="minorHAnsi" w:hAnsiTheme="minorHAnsi" w:cstheme="minorBidi"/>
          <w:b w:val="0"/>
          <w:sz w:val="22"/>
          <w:szCs w:val="22"/>
          <w:lang w:val="es-ES" w:eastAsia="en-US"/>
        </w:rPr>
        <w:t xml:space="preserve"> pylori. El costo del cuádruple esquema con </w:t>
      </w:r>
      <w:proofErr w:type="spellStart"/>
      <w:r w:rsidRPr="003634C2">
        <w:rPr>
          <w:rFonts w:asciiTheme="minorHAnsi" w:eastAsiaTheme="minorHAnsi" w:hAnsiTheme="minorHAnsi" w:cstheme="minorBidi"/>
          <w:b w:val="0"/>
          <w:sz w:val="22"/>
          <w:szCs w:val="22"/>
          <w:lang w:val="es-ES" w:eastAsia="en-US"/>
        </w:rPr>
        <w:t>ranitidina</w:t>
      </w:r>
      <w:proofErr w:type="spellEnd"/>
      <w:r w:rsidRPr="003634C2">
        <w:rPr>
          <w:rFonts w:asciiTheme="minorHAnsi" w:eastAsiaTheme="minorHAnsi" w:hAnsiTheme="minorHAnsi" w:cstheme="minorBidi"/>
          <w:b w:val="0"/>
          <w:sz w:val="22"/>
          <w:szCs w:val="22"/>
          <w:lang w:val="es-ES" w:eastAsia="en-US"/>
        </w:rPr>
        <w:t xml:space="preserve"> para esta indicación es superior frente a la opción de omeprazol + ATB para 10 días de tratamiento. </w:t>
      </w:r>
    </w:p>
    <w:p w:rsidR="003634C2" w:rsidRP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Gastritis aguda, incluyendo la forma erosiva, 150 mg 2 veces al día o 300 mg en una toma al acostarse.</w:t>
      </w:r>
    </w:p>
    <w:p w:rsidR="003634C2" w:rsidRP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Esofagitis leve o moderada; 150 mg hasta 4 veces al día.</w:t>
      </w:r>
    </w:p>
    <w:p w:rsidR="003634C2" w:rsidRP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 xml:space="preserve">Enfermedad por reflujo gastroesofágico, 150 mg 2 veces al día o 300 mg en una toma al acostarse. </w:t>
      </w:r>
    </w:p>
    <w:p w:rsidR="003634C2" w:rsidRDefault="003634C2" w:rsidP="00396EBC">
      <w:pPr>
        <w:pStyle w:val="Textosinformato"/>
        <w:numPr>
          <w:ilvl w:val="0"/>
          <w:numId w:val="17"/>
        </w:numPr>
        <w:jc w:val="both"/>
        <w:rPr>
          <w:rFonts w:asciiTheme="minorHAnsi" w:eastAsiaTheme="minorHAnsi" w:hAnsiTheme="minorHAnsi" w:cstheme="minorBidi"/>
          <w:b w:val="0"/>
          <w:sz w:val="22"/>
          <w:szCs w:val="22"/>
          <w:lang w:val="es-ES" w:eastAsia="en-US"/>
        </w:rPr>
      </w:pPr>
      <w:r w:rsidRPr="003634C2">
        <w:rPr>
          <w:rFonts w:asciiTheme="minorHAnsi" w:eastAsiaTheme="minorHAnsi" w:hAnsiTheme="minorHAnsi" w:cstheme="minorBidi"/>
          <w:b w:val="0"/>
          <w:sz w:val="22"/>
          <w:szCs w:val="22"/>
          <w:lang w:val="es-ES" w:eastAsia="en-US"/>
        </w:rPr>
        <w:t xml:space="preserve">Prevención del síndrome de </w:t>
      </w:r>
      <w:proofErr w:type="spellStart"/>
      <w:r w:rsidRPr="003634C2">
        <w:rPr>
          <w:rFonts w:asciiTheme="minorHAnsi" w:eastAsiaTheme="minorHAnsi" w:hAnsiTheme="minorHAnsi" w:cstheme="minorBidi"/>
          <w:b w:val="0"/>
          <w:sz w:val="22"/>
          <w:szCs w:val="22"/>
          <w:lang w:val="es-ES" w:eastAsia="en-US"/>
        </w:rPr>
        <w:t>Mendelson</w:t>
      </w:r>
      <w:proofErr w:type="spellEnd"/>
      <w:r w:rsidRPr="003634C2">
        <w:rPr>
          <w:rFonts w:asciiTheme="minorHAnsi" w:eastAsiaTheme="minorHAnsi" w:hAnsiTheme="minorHAnsi" w:cstheme="minorBidi"/>
          <w:b w:val="0"/>
          <w:sz w:val="22"/>
          <w:szCs w:val="22"/>
          <w:lang w:val="es-ES" w:eastAsia="en-US"/>
        </w:rPr>
        <w:t xml:space="preserve"> –</w:t>
      </w:r>
      <w:proofErr w:type="spellStart"/>
      <w:r w:rsidRPr="003634C2">
        <w:rPr>
          <w:rFonts w:asciiTheme="minorHAnsi" w:eastAsiaTheme="minorHAnsi" w:hAnsiTheme="minorHAnsi" w:cstheme="minorBidi"/>
          <w:b w:val="0"/>
          <w:sz w:val="22"/>
          <w:szCs w:val="22"/>
          <w:lang w:val="es-ES" w:eastAsia="en-US"/>
        </w:rPr>
        <w:t>neumopatia</w:t>
      </w:r>
      <w:proofErr w:type="spellEnd"/>
      <w:r w:rsidRPr="003634C2">
        <w:rPr>
          <w:rFonts w:asciiTheme="minorHAnsi" w:eastAsiaTheme="minorHAnsi" w:hAnsiTheme="minorHAnsi" w:cstheme="minorBidi"/>
          <w:b w:val="0"/>
          <w:sz w:val="22"/>
          <w:szCs w:val="22"/>
          <w:lang w:val="es-ES" w:eastAsia="en-US"/>
        </w:rPr>
        <w:t xml:space="preserve"> por aspiración de contenido gástrico- 150mg la tarde anterior y 150mg 2 horas antes de la anestesia.</w:t>
      </w:r>
    </w:p>
    <w:p w:rsidR="002D3521" w:rsidRDefault="002D3521" w:rsidP="002D3521">
      <w:pPr>
        <w:pStyle w:val="Textosinformato"/>
        <w:jc w:val="both"/>
        <w:rPr>
          <w:rFonts w:asciiTheme="minorHAnsi" w:eastAsiaTheme="minorHAnsi" w:hAnsiTheme="minorHAnsi" w:cstheme="minorBidi"/>
          <w:b w:val="0"/>
          <w:sz w:val="22"/>
          <w:szCs w:val="22"/>
          <w:lang w:val="es-ES" w:eastAsia="en-US"/>
        </w:rPr>
      </w:pPr>
    </w:p>
    <w:p w:rsidR="002D3521" w:rsidRPr="00B1108B" w:rsidRDefault="002D3521" w:rsidP="002D3521">
      <w:pPr>
        <w:pStyle w:val="Textosinformato"/>
        <w:tabs>
          <w:tab w:val="num" w:pos="1080"/>
        </w:tabs>
        <w:jc w:val="both"/>
        <w:rPr>
          <w:rFonts w:ascii="Verdana" w:hAnsi="Verdana" w:cs="Arial"/>
          <w:bCs/>
          <w:sz w:val="22"/>
          <w:szCs w:val="22"/>
        </w:rPr>
      </w:pPr>
    </w:p>
    <w:p w:rsidR="002D3521" w:rsidRPr="003F1DD7" w:rsidRDefault="002D3521" w:rsidP="002D3521">
      <w:pPr>
        <w:tabs>
          <w:tab w:val="left" w:pos="1320"/>
        </w:tabs>
        <w:ind w:left="113"/>
        <w:rPr>
          <w:b/>
          <w:i/>
          <w:color w:val="00B050"/>
        </w:rPr>
      </w:pPr>
      <w:r w:rsidRPr="003F1DD7">
        <w:rPr>
          <w:b/>
          <w:i/>
          <w:color w:val="00B050"/>
        </w:rPr>
        <w:t>A02BC</w:t>
      </w:r>
      <w:r w:rsidRPr="003F1DD7">
        <w:rPr>
          <w:b/>
          <w:i/>
          <w:color w:val="00B050"/>
        </w:rPr>
        <w:tab/>
        <w:t>INHIBIDOR DE LA BOMBA DE PROTONES</w:t>
      </w:r>
    </w:p>
    <w:p w:rsidR="002D3521" w:rsidRPr="003634C2" w:rsidRDefault="002D3521" w:rsidP="002D3521">
      <w:pPr>
        <w:pStyle w:val="Textosinformato"/>
        <w:ind w:left="1800"/>
        <w:jc w:val="both"/>
        <w:rPr>
          <w:rFonts w:asciiTheme="minorHAnsi" w:eastAsiaTheme="minorHAnsi" w:hAnsiTheme="minorHAnsi" w:cstheme="minorBidi"/>
          <w:b w:val="0"/>
          <w:sz w:val="22"/>
          <w:szCs w:val="22"/>
          <w:lang w:val="es-ES" w:eastAsia="en-US"/>
        </w:rPr>
      </w:pPr>
    </w:p>
    <w:p w:rsidR="00835C90" w:rsidRDefault="00835C90" w:rsidP="00835C90">
      <w:pPr>
        <w:jc w:val="both"/>
        <w:rPr>
          <w:b/>
          <w:i/>
          <w:color w:val="00B050"/>
          <w:lang w:val="pt-BR"/>
        </w:rPr>
      </w:pPr>
      <w:r w:rsidRPr="00A555C1">
        <w:rPr>
          <w:b/>
          <w:i/>
          <w:color w:val="00B050"/>
          <w:lang w:val="pt-BR"/>
        </w:rPr>
        <w:lastRenderedPageBreak/>
        <w:t>A02BC01 OMEPRAZOL</w:t>
      </w:r>
    </w:p>
    <w:p w:rsidR="006C37E0" w:rsidRPr="006C37E0" w:rsidRDefault="006C37E0" w:rsidP="00835C90">
      <w:pPr>
        <w:jc w:val="both"/>
      </w:pPr>
      <w:r w:rsidRPr="006C37E0">
        <w:t xml:space="preserve">Se recomienda su utilización en las indicaciones donde  su eficacia clínica es superior y/o su relación beneficio / costo resulta adecuada frente a la opción de uso de </w:t>
      </w:r>
      <w:proofErr w:type="spellStart"/>
      <w:r w:rsidRPr="006C37E0">
        <w:t>ranitidina</w:t>
      </w:r>
      <w:proofErr w:type="spellEnd"/>
      <w:r>
        <w:t>.</w:t>
      </w:r>
    </w:p>
    <w:p w:rsidR="00121600" w:rsidRPr="00121600" w:rsidRDefault="00121600" w:rsidP="005A466E">
      <w:pPr>
        <w:pStyle w:val="Prrafodelista"/>
        <w:numPr>
          <w:ilvl w:val="0"/>
          <w:numId w:val="7"/>
        </w:numPr>
        <w:jc w:val="both"/>
      </w:pPr>
      <w:r w:rsidRPr="00121600">
        <w:t>Enfermedad ulcerosa gástrica o duodenal en actividad y con presencia documentada de helicobacter pylori en tratamiento combinado con amoxicilina y/o claritromicina; la doble o triple terapia con estos ATM muestran la mayor tasa de respuesta.  Dosis: 20 mg/día, durante 10 días.</w:t>
      </w:r>
    </w:p>
    <w:p w:rsidR="00121600" w:rsidRPr="00121600" w:rsidRDefault="00121600" w:rsidP="005A466E">
      <w:pPr>
        <w:pStyle w:val="Prrafodelista"/>
        <w:numPr>
          <w:ilvl w:val="0"/>
          <w:numId w:val="7"/>
        </w:numPr>
        <w:jc w:val="both"/>
      </w:pPr>
      <w:r w:rsidRPr="00121600">
        <w:t>Pacientes en recaída con úlceras gástricas o duodenales, pretratadas y refractarias a bloqueantes H2; 20mg/día, durante 4-8 semanas</w:t>
      </w:r>
    </w:p>
    <w:p w:rsidR="00121600" w:rsidRPr="00121600" w:rsidRDefault="00121600" w:rsidP="005A466E">
      <w:pPr>
        <w:pStyle w:val="Prrafodelista"/>
        <w:numPr>
          <w:ilvl w:val="0"/>
          <w:numId w:val="7"/>
        </w:numPr>
        <w:jc w:val="both"/>
      </w:pPr>
      <w:r w:rsidRPr="00121600">
        <w:t xml:space="preserve">Pacientes con ulcera duodenal o gástrica, 20-40 mg/día, hasta 8 semanas.                                                                                                                                                                                                                                                                                                                                                                                                                                                                                                                                                </w:t>
      </w:r>
    </w:p>
    <w:p w:rsidR="00121600" w:rsidRPr="00121600" w:rsidRDefault="00121600" w:rsidP="005A466E">
      <w:pPr>
        <w:pStyle w:val="Prrafodelista"/>
        <w:numPr>
          <w:ilvl w:val="0"/>
          <w:numId w:val="7"/>
        </w:numPr>
        <w:jc w:val="both"/>
      </w:pPr>
      <w:r w:rsidRPr="00121600">
        <w:t>Prevención de la recurrencia de enfermedad ulcerosa y erosiva gastroduodenal en pacientes de alto riesgo – mayores de 65 años y con antecedentes de erosiones GD– que reciben AINES.</w:t>
      </w:r>
    </w:p>
    <w:p w:rsidR="00121600" w:rsidRPr="00121600" w:rsidRDefault="00121600" w:rsidP="005A466E">
      <w:pPr>
        <w:pStyle w:val="Prrafodelista"/>
        <w:numPr>
          <w:ilvl w:val="0"/>
          <w:numId w:val="7"/>
        </w:numPr>
        <w:jc w:val="both"/>
      </w:pPr>
      <w:r w:rsidRPr="00121600">
        <w:t xml:space="preserve">Esofagitis por reflujo severa como fármaco de primera elección y/o para tratamiento en pacientes pretratados y no curados con bloqueantes H2 y/o Dosis: 20-40 mg/día, durante 8-12 semanas. Mantenimiento: 20mg/día 6-12 meses. </w:t>
      </w:r>
    </w:p>
    <w:p w:rsidR="00973F00" w:rsidRPr="001F1F5B" w:rsidRDefault="00121600" w:rsidP="0089061B">
      <w:pPr>
        <w:pStyle w:val="Prrafodelista"/>
        <w:numPr>
          <w:ilvl w:val="0"/>
          <w:numId w:val="7"/>
        </w:numPr>
        <w:jc w:val="both"/>
        <w:rPr>
          <w:u w:val="single"/>
        </w:rPr>
      </w:pPr>
      <w:r w:rsidRPr="00121600">
        <w:t>Erosiones esofágicas y úlcera de esófago en pacientes pretratados y no curados con bloqueantes H2 o de primera elección en pacientes vírgenes de tratamiento; 20-40 mg/día, durante 8-12 semanas</w:t>
      </w:r>
      <w:r w:rsidR="00D17BBE">
        <w:t>.</w:t>
      </w:r>
    </w:p>
    <w:p w:rsidR="00D17BBE" w:rsidRDefault="00EC088E" w:rsidP="00EC088E">
      <w:pPr>
        <w:pStyle w:val="Prrafodelista"/>
        <w:jc w:val="both"/>
      </w:pPr>
      <w:r w:rsidRPr="002B5725">
        <w:rPr>
          <w:u w:val="single"/>
        </w:rPr>
        <w:t>Nota</w:t>
      </w:r>
      <w:r w:rsidR="002B5725">
        <w:rPr>
          <w:u w:val="single"/>
        </w:rPr>
        <w:t xml:space="preserve"> 1</w:t>
      </w:r>
      <w:r w:rsidRPr="002B5725">
        <w:rPr>
          <w:u w:val="single"/>
        </w:rPr>
        <w:t>:</w:t>
      </w:r>
      <w:r>
        <w:t xml:space="preserve"> </w:t>
      </w:r>
      <w:r w:rsidR="00C023A2">
        <w:t xml:space="preserve">los inhibidores de la bomba de protones (IBP) no son “protectores gástricos” y resulta preocupante su sobreutilización, documentada en estudios observacionales en numerosos países. </w:t>
      </w:r>
    </w:p>
    <w:p w:rsidR="00D17BBE" w:rsidRDefault="00C023A2" w:rsidP="00C023A2">
      <w:pPr>
        <w:pStyle w:val="Prrafodelista"/>
        <w:jc w:val="both"/>
        <w:rPr>
          <w:b/>
          <w:i/>
          <w:color w:val="1F3864" w:themeColor="accent1" w:themeShade="80"/>
        </w:rPr>
      </w:pPr>
      <w:r>
        <w:rPr>
          <w:u w:val="single"/>
        </w:rPr>
        <w:t>Nota 2:</w:t>
      </w:r>
      <w:r>
        <w:t xml:space="preserve">  </w:t>
      </w:r>
      <w:r w:rsidR="00D17BBE">
        <w:t xml:space="preserve">su uso prolongado se ha asociado a efectos adversos graves, como fracturas, hipomagnesemia, infección y colitis por Clostridium difficile, neumonía, así como a una posible interacción con clopidogrel </w:t>
      </w:r>
      <w:r>
        <w:t xml:space="preserve">y </w:t>
      </w:r>
      <w:r w:rsidR="00A8434A">
        <w:t xml:space="preserve">un </w:t>
      </w:r>
      <w:r>
        <w:t>incremento d</w:t>
      </w:r>
      <w:r w:rsidR="00D17BBE">
        <w:t>el riesgo de enfermedad renal crónica.</w:t>
      </w:r>
    </w:p>
    <w:p w:rsidR="00C06B48" w:rsidRDefault="00C06B48" w:rsidP="00835C90">
      <w:pPr>
        <w:jc w:val="both"/>
        <w:rPr>
          <w:b/>
          <w:i/>
          <w:color w:val="00B050"/>
        </w:rPr>
      </w:pPr>
    </w:p>
    <w:p w:rsidR="00835C90" w:rsidRPr="00BF4135" w:rsidRDefault="00835C90" w:rsidP="00835C90">
      <w:pPr>
        <w:jc w:val="both"/>
      </w:pPr>
      <w:r w:rsidRPr="00BF4135">
        <w:rPr>
          <w:b/>
          <w:i/>
          <w:color w:val="00B050"/>
        </w:rPr>
        <w:t>A02BC03 LANSOPRAZOL</w:t>
      </w:r>
      <w:r w:rsidRPr="00BF4135">
        <w:t xml:space="preserve">  </w:t>
      </w:r>
    </w:p>
    <w:p w:rsidR="00BF4135" w:rsidRPr="00BF4135" w:rsidRDefault="00BF4135" w:rsidP="005A466E">
      <w:pPr>
        <w:pStyle w:val="Prrafodelista"/>
        <w:numPr>
          <w:ilvl w:val="0"/>
          <w:numId w:val="7"/>
        </w:numPr>
        <w:jc w:val="both"/>
      </w:pPr>
      <w:r w:rsidRPr="00BF4135">
        <w:t>Tratamiento agudo de la úlcera duodenal, la úlcera gástrica y de la esofagitis por reflujo gastroesofágico.</w:t>
      </w:r>
      <w:r>
        <w:t xml:space="preserve"> - Dosis: 30mg/día – 4-8 semanas. </w:t>
      </w:r>
    </w:p>
    <w:p w:rsidR="00BF4135" w:rsidRPr="00BF4135" w:rsidRDefault="00BF4135" w:rsidP="005A466E">
      <w:pPr>
        <w:pStyle w:val="Prrafodelista"/>
        <w:numPr>
          <w:ilvl w:val="0"/>
          <w:numId w:val="7"/>
        </w:numPr>
        <w:jc w:val="both"/>
      </w:pPr>
      <w:r>
        <w:t xml:space="preserve">Tratamiento erradicador de Helicobacter pylori y prevención de recaídas de úlcera péptica en pacientes con úlceras asociadas a H. pylori, en combinación con los antibióticos apropiados. - Dosis: 30mg/día – 1 semana. </w:t>
      </w:r>
    </w:p>
    <w:p w:rsidR="00BF4135" w:rsidRPr="00BF4135" w:rsidRDefault="00BF4135" w:rsidP="005A466E">
      <w:pPr>
        <w:pStyle w:val="Prrafodelista"/>
        <w:numPr>
          <w:ilvl w:val="0"/>
          <w:numId w:val="7"/>
        </w:numPr>
        <w:jc w:val="both"/>
      </w:pPr>
      <w:r>
        <w:t>Tratamiento agudo de la úlcera gástrica inducida por AINEs en pacientes que precisen seguir el tratamiento con antiinflamatorios no esteroideos durante el proceso de curación de la úlcera. -Dosis: 30mg/día – 4 semanas.</w:t>
      </w:r>
    </w:p>
    <w:p w:rsidR="00BF4135" w:rsidRPr="00BF4135" w:rsidRDefault="00BF4135" w:rsidP="005A466E">
      <w:pPr>
        <w:pStyle w:val="Prrafodelista"/>
        <w:numPr>
          <w:ilvl w:val="0"/>
          <w:numId w:val="7"/>
        </w:numPr>
        <w:jc w:val="both"/>
      </w:pPr>
      <w:r>
        <w:t xml:space="preserve">Prevención de la úlcera gástrica inducida por AINEs en pacientes de riesgo (con antecedentes de úlcera gástrica) que requieran un tratamiento crónico con antiinflamatorios no esteroideos. </w:t>
      </w:r>
      <w:r w:rsidR="00480B8B">
        <w:t xml:space="preserve">Dosis: 30mg/día – según duración de tratamiento con AINES. </w:t>
      </w:r>
    </w:p>
    <w:p w:rsidR="00BF4135" w:rsidRPr="00BF4135" w:rsidRDefault="00BF4135" w:rsidP="005A466E">
      <w:pPr>
        <w:pStyle w:val="Prrafodelista"/>
        <w:numPr>
          <w:ilvl w:val="0"/>
          <w:numId w:val="7"/>
        </w:numPr>
        <w:jc w:val="both"/>
      </w:pPr>
      <w:r>
        <w:t xml:space="preserve">Tratamiento del síndrome de Zollinger-Ellison. </w:t>
      </w:r>
      <w:r w:rsidR="00480B8B">
        <w:t>Dosis: 30mg/día – 4 semanas.</w:t>
      </w:r>
    </w:p>
    <w:p w:rsidR="00480B8B" w:rsidRPr="00BF4135" w:rsidRDefault="00BF4135" w:rsidP="005A466E">
      <w:pPr>
        <w:pStyle w:val="Prrafodelista"/>
        <w:numPr>
          <w:ilvl w:val="0"/>
          <w:numId w:val="7"/>
        </w:numPr>
        <w:jc w:val="both"/>
      </w:pPr>
      <w:r>
        <w:t>Tratamiento de mantenimiento de la esofagitis por reflujo gastroesofágico</w:t>
      </w:r>
      <w:r w:rsidR="00480B8B">
        <w:t xml:space="preserve">. Dosis: 15mg/día. </w:t>
      </w:r>
    </w:p>
    <w:p w:rsidR="00480B8B" w:rsidRDefault="00480B8B" w:rsidP="00F830B0">
      <w:pPr>
        <w:pStyle w:val="Prrafodelista"/>
        <w:jc w:val="both"/>
      </w:pPr>
      <w:r w:rsidRPr="002B5725">
        <w:rPr>
          <w:u w:val="single"/>
        </w:rPr>
        <w:lastRenderedPageBreak/>
        <w:t>Nota</w:t>
      </w:r>
      <w:r>
        <w:rPr>
          <w:u w:val="single"/>
        </w:rPr>
        <w:t xml:space="preserve"> 1</w:t>
      </w:r>
      <w:r w:rsidRPr="002B5725">
        <w:rPr>
          <w:u w:val="single"/>
        </w:rPr>
        <w:t>:</w:t>
      </w:r>
      <w:r>
        <w:t xml:space="preserve"> los inhibidores de la bomba de protones (IBP) no son “protectores gástricos” y resulta preocupante su sobreutilización, documentada en estudios observacionales en numerosos países. </w:t>
      </w:r>
    </w:p>
    <w:p w:rsidR="00480B8B" w:rsidRDefault="00480B8B" w:rsidP="00F830B0">
      <w:pPr>
        <w:pStyle w:val="Prrafodelista"/>
        <w:jc w:val="both"/>
      </w:pPr>
      <w:r>
        <w:rPr>
          <w:u w:val="single"/>
        </w:rPr>
        <w:t>Nota 2</w:t>
      </w:r>
      <w:proofErr w:type="gramStart"/>
      <w:r>
        <w:rPr>
          <w:u w:val="single"/>
        </w:rPr>
        <w:t>:</w:t>
      </w:r>
      <w:r>
        <w:t xml:space="preserve">  su</w:t>
      </w:r>
      <w:proofErr w:type="gramEnd"/>
      <w:r>
        <w:t xml:space="preserve"> uso prolongado se ha asociado a efectos adversos graves, como fracturas, hipomagnesemia, infección y colitis por Clostridium difficile, neumonía, así como a una posible interacción con clopidogrel y un incremento del riesgo de enfermedad renal crónica.</w:t>
      </w:r>
    </w:p>
    <w:p w:rsidR="00D94645" w:rsidRPr="00DE4AD3" w:rsidRDefault="00D94645" w:rsidP="00DE4AD3">
      <w:pPr>
        <w:jc w:val="both"/>
        <w:rPr>
          <w:b/>
          <w:i/>
          <w:color w:val="00B050"/>
        </w:rPr>
      </w:pPr>
    </w:p>
    <w:p w:rsidR="00D94645" w:rsidRPr="00DE4AD3" w:rsidRDefault="00D94645" w:rsidP="00DE4AD3">
      <w:pPr>
        <w:jc w:val="both"/>
        <w:rPr>
          <w:b/>
          <w:i/>
          <w:color w:val="00B050"/>
        </w:rPr>
      </w:pPr>
      <w:r w:rsidRPr="00DE4AD3">
        <w:rPr>
          <w:b/>
          <w:i/>
          <w:color w:val="00B050"/>
        </w:rPr>
        <w:t>A07DA</w:t>
      </w:r>
      <w:r w:rsidRPr="00DE4AD3">
        <w:rPr>
          <w:b/>
          <w:i/>
          <w:color w:val="00B050"/>
        </w:rPr>
        <w:tab/>
        <w:t>ANTIPROPULSIVOS</w:t>
      </w:r>
    </w:p>
    <w:p w:rsidR="00835C90" w:rsidRPr="00835C90" w:rsidRDefault="00835C90" w:rsidP="00835C90">
      <w:pPr>
        <w:jc w:val="both"/>
        <w:rPr>
          <w:lang w:val="pt-BR"/>
        </w:rPr>
      </w:pPr>
      <w:r w:rsidRPr="00A555C1">
        <w:rPr>
          <w:b/>
          <w:i/>
          <w:color w:val="00B050"/>
          <w:lang w:val="pt-BR"/>
        </w:rPr>
        <w:t>A07DA03 LOPERAMIDA</w:t>
      </w:r>
      <w:proofErr w:type="gramStart"/>
      <w:r w:rsidRPr="00835C90">
        <w:rPr>
          <w:b/>
          <w:i/>
          <w:color w:val="00B050"/>
          <w:lang w:val="pt-BR"/>
        </w:rPr>
        <w:t xml:space="preserve"> </w:t>
      </w:r>
      <w:r w:rsidRPr="00835C90">
        <w:rPr>
          <w:lang w:val="pt-BR"/>
        </w:rPr>
        <w:t xml:space="preserve">  </w:t>
      </w:r>
    </w:p>
    <w:p w:rsidR="00EB7ACB" w:rsidRPr="00EB7ACB" w:rsidRDefault="00EB7ACB" w:rsidP="005A466E">
      <w:pPr>
        <w:pStyle w:val="Prrafodelista"/>
        <w:numPr>
          <w:ilvl w:val="0"/>
          <w:numId w:val="7"/>
        </w:numPr>
        <w:jc w:val="both"/>
      </w:pPr>
      <w:proofErr w:type="gramEnd"/>
      <w:r w:rsidRPr="00EB7ACB">
        <w:t xml:space="preserve">Tratamiento sintomático, acompañado de dieta apropiada, hidratación y aporte de  electrolitos para las siguientes situaciones:  </w:t>
      </w:r>
    </w:p>
    <w:p w:rsidR="00EB7ACB" w:rsidRPr="00EB7ACB" w:rsidRDefault="00EB7ACB" w:rsidP="005A466E">
      <w:pPr>
        <w:pStyle w:val="Prrafodelista"/>
        <w:numPr>
          <w:ilvl w:val="0"/>
          <w:numId w:val="7"/>
        </w:numPr>
        <w:jc w:val="both"/>
      </w:pPr>
      <w:r w:rsidRPr="00EB7ACB">
        <w:t>Diarrea aguda refractaria a medidas no farmacológicas, en ausencia de deposiciones con presencia de moco o sangre,</w:t>
      </w:r>
    </w:p>
    <w:p w:rsidR="00EB7ACB" w:rsidRPr="00EB7ACB" w:rsidRDefault="00EB7ACB" w:rsidP="005A466E">
      <w:pPr>
        <w:pStyle w:val="Prrafodelista"/>
        <w:numPr>
          <w:ilvl w:val="0"/>
          <w:numId w:val="7"/>
        </w:numPr>
        <w:jc w:val="both"/>
      </w:pPr>
      <w:r w:rsidRPr="00EB7ACB">
        <w:t>Diarrea crónica, de diversa etiología: neuropatía diabética, colon irritable, vagotonía y píloroplastia.</w:t>
      </w:r>
    </w:p>
    <w:p w:rsidR="00EB7ACB" w:rsidRPr="00EB7ACB" w:rsidRDefault="00EB7ACB" w:rsidP="00122E05">
      <w:pPr>
        <w:pStyle w:val="Prrafodelista"/>
        <w:jc w:val="both"/>
      </w:pPr>
      <w:r w:rsidRPr="00EB7ACB">
        <w:rPr>
          <w:u w:val="single"/>
        </w:rPr>
        <w:t>Dosis:</w:t>
      </w:r>
      <w:r w:rsidRPr="00EB7ACB">
        <w:t xml:space="preserve"> 4 mg de entrada y 2 mg con cada deposición hasta un</w:t>
      </w:r>
      <w:r w:rsidR="00C07B56">
        <w:t xml:space="preserve"> </w:t>
      </w:r>
      <w:r w:rsidRPr="00EB7ACB">
        <w:t xml:space="preserve">máximo </w:t>
      </w:r>
      <w:r w:rsidR="00122E05" w:rsidRPr="00EB7ACB">
        <w:t>de 16</w:t>
      </w:r>
      <w:r w:rsidRPr="00EB7ACB">
        <w:t xml:space="preserve"> mg/día. </w:t>
      </w:r>
    </w:p>
    <w:p w:rsidR="00EB7ACB" w:rsidRDefault="00EB7ACB" w:rsidP="00122E05">
      <w:pPr>
        <w:pStyle w:val="Prrafodelista"/>
        <w:jc w:val="both"/>
      </w:pPr>
      <w:r w:rsidRPr="00EB7ACB">
        <w:rPr>
          <w:u w:val="single"/>
        </w:rPr>
        <w:t>Importante:</w:t>
      </w:r>
      <w:r w:rsidRPr="00EB7ACB">
        <w:t xml:space="preserve"> No se recomienda su uso en niños menores de 12 años.</w:t>
      </w:r>
    </w:p>
    <w:p w:rsidR="005C6C52" w:rsidRPr="00DE4AD3" w:rsidRDefault="005C6C52" w:rsidP="00DE4AD3">
      <w:pPr>
        <w:jc w:val="both"/>
        <w:rPr>
          <w:b/>
          <w:i/>
          <w:color w:val="00B050"/>
        </w:rPr>
      </w:pPr>
    </w:p>
    <w:p w:rsidR="00DA6B0C" w:rsidRPr="00DE4AD3" w:rsidRDefault="00DA6B0C" w:rsidP="00DE4AD3">
      <w:pPr>
        <w:jc w:val="both"/>
        <w:rPr>
          <w:b/>
          <w:i/>
          <w:color w:val="00B050"/>
        </w:rPr>
      </w:pPr>
      <w:r w:rsidRPr="00DE4AD3">
        <w:rPr>
          <w:b/>
          <w:i/>
          <w:color w:val="00B050"/>
        </w:rPr>
        <w:t>A07E</w:t>
      </w:r>
      <w:r w:rsidRPr="00DE4AD3">
        <w:rPr>
          <w:b/>
          <w:i/>
          <w:color w:val="00B050"/>
        </w:rPr>
        <w:tab/>
        <w:t>AGENTES ANTIINFLAMATORIOS INTESTINALES</w:t>
      </w:r>
    </w:p>
    <w:p w:rsidR="00DA6B0C" w:rsidRPr="00DA6B0C" w:rsidRDefault="00DA6B0C" w:rsidP="00DA6B0C">
      <w:pPr>
        <w:jc w:val="both"/>
        <w:rPr>
          <w:b/>
          <w:i/>
          <w:color w:val="00B050"/>
        </w:rPr>
      </w:pPr>
      <w:r w:rsidRPr="00DA6B0C">
        <w:rPr>
          <w:b/>
          <w:i/>
          <w:color w:val="00B050"/>
        </w:rPr>
        <w:t>A07EA06  BUDESONIDA</w:t>
      </w:r>
    </w:p>
    <w:p w:rsidR="00DA6B0C" w:rsidRPr="00DA6B0C" w:rsidRDefault="00DA6B0C" w:rsidP="00DA6B0C">
      <w:pPr>
        <w:pStyle w:val="Prrafodelista"/>
        <w:numPr>
          <w:ilvl w:val="0"/>
          <w:numId w:val="7"/>
        </w:numPr>
        <w:jc w:val="both"/>
      </w:pPr>
      <w:r w:rsidRPr="00DA6B0C">
        <w:t xml:space="preserve">Enfermedad de Crohn de adulto con compromiso </w:t>
      </w:r>
      <w:proofErr w:type="spellStart"/>
      <w:r w:rsidRPr="00DA6B0C">
        <w:t>ileocolónico</w:t>
      </w:r>
      <w:proofErr w:type="spellEnd"/>
      <w:r w:rsidRPr="00DA6B0C">
        <w:t xml:space="preserve"> y del colon ascendente, para tratamiento y mantenimiento de la remisión clínica. Dosis: 9mg/día por vía oral para tratamiento por hasta 8 semanas y 3-6mg/día para mantenimiento.</w:t>
      </w:r>
    </w:p>
    <w:p w:rsidR="00DA6B0C" w:rsidRPr="00DA6B0C" w:rsidRDefault="00DA6B0C" w:rsidP="00DA6B0C">
      <w:pPr>
        <w:pStyle w:val="Prrafodelista"/>
        <w:numPr>
          <w:ilvl w:val="0"/>
          <w:numId w:val="7"/>
        </w:numPr>
        <w:jc w:val="both"/>
      </w:pPr>
      <w:r w:rsidRPr="00DA6B0C">
        <w:t xml:space="preserve">Colitis ulcerosa de localización </w:t>
      </w:r>
      <w:proofErr w:type="spellStart"/>
      <w:r w:rsidRPr="00DA6B0C">
        <w:t>rectosigmoidea</w:t>
      </w:r>
      <w:proofErr w:type="spellEnd"/>
      <w:r w:rsidRPr="00DA6B0C">
        <w:t xml:space="preserve"> para tratamiento con enemas nocturnos a retener. Dosis: 2mg/100ml por 4-8 semanas.</w:t>
      </w:r>
    </w:p>
    <w:p w:rsidR="00DA6B0C" w:rsidRPr="00DA6B0C" w:rsidRDefault="00DA6B0C" w:rsidP="00DA6B0C">
      <w:pPr>
        <w:pStyle w:val="Prrafodelista"/>
        <w:jc w:val="both"/>
      </w:pPr>
    </w:p>
    <w:p w:rsidR="00DA6B0C" w:rsidRPr="00DA6B0C" w:rsidRDefault="00DA6B0C" w:rsidP="00DA6B0C">
      <w:pPr>
        <w:jc w:val="both"/>
        <w:rPr>
          <w:b/>
          <w:i/>
          <w:color w:val="00B050"/>
        </w:rPr>
      </w:pPr>
      <w:r w:rsidRPr="00DA6B0C">
        <w:rPr>
          <w:b/>
          <w:i/>
          <w:color w:val="00B050"/>
        </w:rPr>
        <w:t>A07EC01</w:t>
      </w:r>
      <w:r w:rsidRPr="00DA6B0C">
        <w:rPr>
          <w:b/>
          <w:i/>
          <w:color w:val="00B050"/>
        </w:rPr>
        <w:tab/>
        <w:t xml:space="preserve">SULFASALAZINA (SALICILAZOSULFAPIRIDINA) </w:t>
      </w:r>
    </w:p>
    <w:p w:rsidR="00DA6B0C" w:rsidRPr="00DA6B0C" w:rsidRDefault="00DA6B0C" w:rsidP="00DA6B0C">
      <w:pPr>
        <w:pStyle w:val="Prrafodelista"/>
        <w:numPr>
          <w:ilvl w:val="0"/>
          <w:numId w:val="7"/>
        </w:numPr>
        <w:jc w:val="both"/>
      </w:pPr>
      <w:r w:rsidRPr="00DA6B0C">
        <w:t xml:space="preserve">Colitis ulcerosa moderada o leve. </w:t>
      </w:r>
    </w:p>
    <w:p w:rsidR="00DA6B0C" w:rsidRPr="00DA6B0C" w:rsidRDefault="00DA6B0C" w:rsidP="00DA6B0C">
      <w:pPr>
        <w:pStyle w:val="Prrafodelista"/>
        <w:numPr>
          <w:ilvl w:val="0"/>
          <w:numId w:val="7"/>
        </w:numPr>
        <w:jc w:val="both"/>
      </w:pPr>
      <w:r w:rsidRPr="00DA6B0C">
        <w:t xml:space="preserve">Enfermedad de Crohn en las formas íleo cólica o cólica.   </w:t>
      </w:r>
    </w:p>
    <w:p w:rsidR="00DA6B0C" w:rsidRPr="00DA6B0C" w:rsidRDefault="00DA6B0C" w:rsidP="00DA6B0C">
      <w:pPr>
        <w:pStyle w:val="Prrafodelista"/>
        <w:jc w:val="both"/>
      </w:pPr>
    </w:p>
    <w:p w:rsidR="00DA6B0C" w:rsidRPr="00DA6B0C" w:rsidRDefault="00DA6B0C" w:rsidP="00DA6B0C">
      <w:pPr>
        <w:pStyle w:val="Textosinformato"/>
        <w:tabs>
          <w:tab w:val="num" w:pos="720"/>
        </w:tabs>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Nota: Constituye en ambos casos la  primera  línea de  tratamiento  ante  </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         </w:t>
      </w:r>
      <w:proofErr w:type="gramStart"/>
      <w:r w:rsidRPr="00DA6B0C">
        <w:rPr>
          <w:rFonts w:asciiTheme="minorHAnsi" w:eastAsiaTheme="minorHAnsi" w:hAnsiTheme="minorHAnsi" w:cstheme="minorBidi"/>
          <w:b w:val="0"/>
          <w:sz w:val="22"/>
          <w:szCs w:val="22"/>
          <w:lang w:val="es-ES" w:eastAsia="en-US"/>
        </w:rPr>
        <w:t>presencia</w:t>
      </w:r>
      <w:proofErr w:type="gramEnd"/>
      <w:r w:rsidRPr="00DA6B0C">
        <w:rPr>
          <w:rFonts w:asciiTheme="minorHAnsi" w:eastAsiaTheme="minorHAnsi" w:hAnsiTheme="minorHAnsi" w:cstheme="minorBidi"/>
          <w:b w:val="0"/>
          <w:sz w:val="22"/>
          <w:szCs w:val="22"/>
          <w:lang w:val="es-ES" w:eastAsia="en-US"/>
        </w:rPr>
        <w:t xml:space="preserve"> de estas enfermedades. Un reciente </w:t>
      </w:r>
      <w:proofErr w:type="spellStart"/>
      <w:r w:rsidRPr="00DA6B0C">
        <w:rPr>
          <w:rFonts w:asciiTheme="minorHAnsi" w:eastAsiaTheme="minorHAnsi" w:hAnsiTheme="minorHAnsi" w:cstheme="minorBidi"/>
          <w:b w:val="0"/>
          <w:sz w:val="22"/>
          <w:szCs w:val="22"/>
          <w:lang w:val="es-ES" w:eastAsia="en-US"/>
        </w:rPr>
        <w:t>metanálisis</w:t>
      </w:r>
      <w:proofErr w:type="spellEnd"/>
      <w:r w:rsidRPr="00DA6B0C">
        <w:rPr>
          <w:rFonts w:asciiTheme="minorHAnsi" w:eastAsiaTheme="minorHAnsi" w:hAnsiTheme="minorHAnsi" w:cstheme="minorBidi"/>
          <w:b w:val="0"/>
          <w:sz w:val="22"/>
          <w:szCs w:val="22"/>
          <w:lang w:val="es-ES" w:eastAsia="en-US"/>
        </w:rPr>
        <w:t xml:space="preserve"> de 20 </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         ECC muestra que la eficacia clínica y seguridad comparativa entre   </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         </w:t>
      </w:r>
      <w:proofErr w:type="spellStart"/>
      <w:proofErr w:type="gramStart"/>
      <w:r w:rsidRPr="00DA6B0C">
        <w:rPr>
          <w:rFonts w:asciiTheme="minorHAnsi" w:eastAsiaTheme="minorHAnsi" w:hAnsiTheme="minorHAnsi" w:cstheme="minorBidi"/>
          <w:b w:val="0"/>
          <w:sz w:val="22"/>
          <w:szCs w:val="22"/>
          <w:lang w:val="es-ES" w:eastAsia="en-US"/>
        </w:rPr>
        <w:t>salicilazosulfapiridina</w:t>
      </w:r>
      <w:proofErr w:type="spellEnd"/>
      <w:proofErr w:type="gramEnd"/>
      <w:r w:rsidRPr="00DA6B0C">
        <w:rPr>
          <w:rFonts w:asciiTheme="minorHAnsi" w:eastAsiaTheme="minorHAnsi" w:hAnsiTheme="minorHAnsi" w:cstheme="minorBidi"/>
          <w:b w:val="0"/>
          <w:sz w:val="22"/>
          <w:szCs w:val="22"/>
          <w:lang w:val="es-ES" w:eastAsia="en-US"/>
        </w:rPr>
        <w:t xml:space="preserve"> y </w:t>
      </w:r>
      <w:proofErr w:type="spellStart"/>
      <w:r w:rsidRPr="00DA6B0C">
        <w:rPr>
          <w:rFonts w:asciiTheme="minorHAnsi" w:eastAsiaTheme="minorHAnsi" w:hAnsiTheme="minorHAnsi" w:cstheme="minorBidi"/>
          <w:b w:val="0"/>
          <w:sz w:val="22"/>
          <w:szCs w:val="22"/>
          <w:lang w:val="es-ES" w:eastAsia="en-US"/>
        </w:rPr>
        <w:t>mesalazina</w:t>
      </w:r>
      <w:proofErr w:type="spellEnd"/>
      <w:r w:rsidRPr="00DA6B0C">
        <w:rPr>
          <w:rFonts w:asciiTheme="minorHAnsi" w:eastAsiaTheme="minorHAnsi" w:hAnsiTheme="minorHAnsi" w:cstheme="minorBidi"/>
          <w:b w:val="0"/>
          <w:sz w:val="22"/>
          <w:szCs w:val="22"/>
          <w:lang w:val="es-ES" w:eastAsia="en-US"/>
        </w:rPr>
        <w:t xml:space="preserve"> y sus derivados NO muestra     </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         </w:t>
      </w:r>
      <w:proofErr w:type="gramStart"/>
      <w:r w:rsidRPr="00DA6B0C">
        <w:rPr>
          <w:rFonts w:asciiTheme="minorHAnsi" w:eastAsiaTheme="minorHAnsi" w:hAnsiTheme="minorHAnsi" w:cstheme="minorBidi"/>
          <w:b w:val="0"/>
          <w:sz w:val="22"/>
          <w:szCs w:val="22"/>
          <w:lang w:val="es-ES" w:eastAsia="en-US"/>
        </w:rPr>
        <w:t>diferencias</w:t>
      </w:r>
      <w:proofErr w:type="gramEnd"/>
      <w:r w:rsidRPr="00DA6B0C">
        <w:rPr>
          <w:rFonts w:asciiTheme="minorHAnsi" w:eastAsiaTheme="minorHAnsi" w:hAnsiTheme="minorHAnsi" w:cstheme="minorBidi"/>
          <w:b w:val="0"/>
          <w:sz w:val="22"/>
          <w:szCs w:val="22"/>
          <w:lang w:val="es-ES" w:eastAsia="en-US"/>
        </w:rPr>
        <w:t xml:space="preserve">, por lo que el criterio </w:t>
      </w:r>
      <w:proofErr w:type="spellStart"/>
      <w:r w:rsidRPr="00DA6B0C">
        <w:rPr>
          <w:rFonts w:asciiTheme="minorHAnsi" w:eastAsiaTheme="minorHAnsi" w:hAnsiTheme="minorHAnsi" w:cstheme="minorBidi"/>
          <w:b w:val="0"/>
          <w:sz w:val="22"/>
          <w:szCs w:val="22"/>
          <w:lang w:val="es-ES" w:eastAsia="en-US"/>
        </w:rPr>
        <w:t>se</w:t>
      </w:r>
      <w:proofErr w:type="spellEnd"/>
      <w:r w:rsidRPr="00DA6B0C">
        <w:rPr>
          <w:rFonts w:asciiTheme="minorHAnsi" w:eastAsiaTheme="minorHAnsi" w:hAnsiTheme="minorHAnsi" w:cstheme="minorBidi"/>
          <w:b w:val="0"/>
          <w:sz w:val="22"/>
          <w:szCs w:val="22"/>
          <w:lang w:val="es-ES" w:eastAsia="en-US"/>
        </w:rPr>
        <w:t xml:space="preserve"> selección racional es el costo.</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Dosis; 3-4 gr/día para inicio de tratamiento y 2 gr/día en </w:t>
      </w:r>
    </w:p>
    <w:p w:rsid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r w:rsidRPr="00DA6B0C">
        <w:rPr>
          <w:rFonts w:asciiTheme="minorHAnsi" w:eastAsiaTheme="minorHAnsi" w:hAnsiTheme="minorHAnsi" w:cstheme="minorBidi"/>
          <w:b w:val="0"/>
          <w:sz w:val="22"/>
          <w:szCs w:val="22"/>
          <w:lang w:val="es-ES" w:eastAsia="en-US"/>
        </w:rPr>
        <w:t xml:space="preserve">          </w:t>
      </w:r>
      <w:proofErr w:type="gramStart"/>
      <w:r w:rsidRPr="00DA6B0C">
        <w:rPr>
          <w:rFonts w:asciiTheme="minorHAnsi" w:eastAsiaTheme="minorHAnsi" w:hAnsiTheme="minorHAnsi" w:cstheme="minorBidi"/>
          <w:b w:val="0"/>
          <w:sz w:val="22"/>
          <w:szCs w:val="22"/>
          <w:lang w:val="es-ES" w:eastAsia="en-US"/>
        </w:rPr>
        <w:t>mantenimiento</w:t>
      </w:r>
      <w:proofErr w:type="gramEnd"/>
      <w:r w:rsidRPr="00DA6B0C">
        <w:rPr>
          <w:rFonts w:asciiTheme="minorHAnsi" w:eastAsiaTheme="minorHAnsi" w:hAnsiTheme="minorHAnsi" w:cstheme="minorBidi"/>
          <w:b w:val="0"/>
          <w:sz w:val="22"/>
          <w:szCs w:val="22"/>
          <w:lang w:val="es-ES" w:eastAsia="en-US"/>
        </w:rPr>
        <w:t xml:space="preserve">. </w:t>
      </w:r>
    </w:p>
    <w:p w:rsidR="00DA6B0C" w:rsidRPr="00DA6B0C" w:rsidRDefault="00DA6B0C" w:rsidP="00DA6B0C">
      <w:pPr>
        <w:pStyle w:val="Textosinformato"/>
        <w:ind w:left="720" w:hanging="360"/>
        <w:jc w:val="both"/>
        <w:rPr>
          <w:rFonts w:asciiTheme="minorHAnsi" w:eastAsiaTheme="minorHAnsi" w:hAnsiTheme="minorHAnsi" w:cstheme="minorBidi"/>
          <w:b w:val="0"/>
          <w:sz w:val="22"/>
          <w:szCs w:val="22"/>
          <w:lang w:val="es-ES" w:eastAsia="en-US"/>
        </w:rPr>
      </w:pPr>
    </w:p>
    <w:p w:rsidR="00DA6B0C" w:rsidRPr="00DA6B0C" w:rsidRDefault="00DA6B0C" w:rsidP="00DA6B0C">
      <w:pPr>
        <w:pStyle w:val="Prrafodelista"/>
        <w:numPr>
          <w:ilvl w:val="0"/>
          <w:numId w:val="7"/>
        </w:numPr>
        <w:jc w:val="both"/>
      </w:pPr>
      <w:r w:rsidRPr="00DA6B0C">
        <w:t xml:space="preserve">Artritis </w:t>
      </w:r>
      <w:proofErr w:type="spellStart"/>
      <w:r w:rsidRPr="00DA6B0C">
        <w:t>Reumatoidea</w:t>
      </w:r>
      <w:proofErr w:type="spellEnd"/>
      <w:r w:rsidRPr="00DA6B0C">
        <w:t xml:space="preserve"> refractaria, dosis de hasta 2 gramos/día.</w:t>
      </w:r>
    </w:p>
    <w:p w:rsidR="00DA6B0C" w:rsidRPr="00B1108B" w:rsidRDefault="00DA6B0C" w:rsidP="00DA6B0C">
      <w:pPr>
        <w:tabs>
          <w:tab w:val="left" w:pos="1320"/>
        </w:tabs>
        <w:ind w:left="113"/>
        <w:rPr>
          <w:rFonts w:ascii="Verdana" w:hAnsi="Verdana" w:cs="Arial"/>
          <w:lang w:val="es-AR"/>
        </w:rPr>
      </w:pPr>
    </w:p>
    <w:p w:rsidR="00DA6B0C" w:rsidRPr="00DA6B0C" w:rsidRDefault="00DA6B0C" w:rsidP="00DA6B0C">
      <w:pPr>
        <w:tabs>
          <w:tab w:val="left" w:pos="1320"/>
        </w:tabs>
        <w:ind w:left="113"/>
        <w:rPr>
          <w:b/>
          <w:i/>
          <w:color w:val="00B050"/>
        </w:rPr>
      </w:pPr>
      <w:r w:rsidRPr="00DA6B0C">
        <w:rPr>
          <w:b/>
          <w:i/>
          <w:color w:val="00B050"/>
        </w:rPr>
        <w:lastRenderedPageBreak/>
        <w:t>A07EC02</w:t>
      </w:r>
      <w:r w:rsidRPr="00DA6B0C">
        <w:rPr>
          <w:b/>
          <w:i/>
          <w:color w:val="00B050"/>
        </w:rPr>
        <w:tab/>
        <w:t xml:space="preserve">MESALAZINA  </w:t>
      </w:r>
    </w:p>
    <w:p w:rsidR="00DA6B0C" w:rsidRPr="00B9614D" w:rsidRDefault="00DA6B0C" w:rsidP="00B9614D">
      <w:pPr>
        <w:pStyle w:val="Prrafodelista"/>
        <w:numPr>
          <w:ilvl w:val="0"/>
          <w:numId w:val="7"/>
        </w:numPr>
        <w:jc w:val="both"/>
      </w:pPr>
      <w:r w:rsidRPr="00B9614D">
        <w:t xml:space="preserve">Pacientes con colitis ulcerosa (CU) y antecedentes de fallo o intolerancia probada a </w:t>
      </w:r>
      <w:proofErr w:type="spellStart"/>
      <w:r w:rsidRPr="00B9614D">
        <w:t>sulfasalazina</w:t>
      </w:r>
      <w:proofErr w:type="spellEnd"/>
      <w:r w:rsidRPr="00B9614D">
        <w:t xml:space="preserve">. Dosis: en cuadros agudos por vía oral entre 1.200 y 2.400 mg/día repartidos en 3 tomas y en mantenimiento 1.600 mg/día en 2 tomas por el término de 6 meses. En la forma de </w:t>
      </w:r>
      <w:proofErr w:type="spellStart"/>
      <w:r w:rsidRPr="00B9614D">
        <w:t>rectocolitis</w:t>
      </w:r>
      <w:proofErr w:type="spellEnd"/>
      <w:r w:rsidRPr="00B9614D">
        <w:t xml:space="preserve"> se puede usar la vía rectal con dosis de hasta 4gr/día bajo la forma de supositorios o suspensión para enemas.</w:t>
      </w:r>
    </w:p>
    <w:p w:rsidR="00DA6B0C" w:rsidRPr="00B1108B" w:rsidRDefault="00DA6B0C" w:rsidP="00DA6B0C">
      <w:pPr>
        <w:ind w:left="1080"/>
        <w:jc w:val="both"/>
        <w:rPr>
          <w:rFonts w:ascii="Verdana" w:hAnsi="Verdana"/>
        </w:rPr>
      </w:pPr>
    </w:p>
    <w:p w:rsidR="00DA6B0C" w:rsidRPr="00B9614D" w:rsidRDefault="00DA6B0C" w:rsidP="00B9614D">
      <w:pPr>
        <w:pStyle w:val="Textosinformato"/>
        <w:tabs>
          <w:tab w:val="num" w:pos="720"/>
        </w:tabs>
        <w:ind w:left="720" w:hanging="360"/>
        <w:jc w:val="both"/>
        <w:rPr>
          <w:rFonts w:asciiTheme="minorHAnsi" w:eastAsiaTheme="minorHAnsi" w:hAnsiTheme="minorHAnsi" w:cstheme="minorBidi"/>
          <w:b w:val="0"/>
          <w:sz w:val="22"/>
          <w:szCs w:val="22"/>
          <w:lang w:val="es-ES" w:eastAsia="en-US"/>
        </w:rPr>
      </w:pPr>
      <w:r w:rsidRPr="00B9614D">
        <w:rPr>
          <w:rFonts w:asciiTheme="minorHAnsi" w:eastAsiaTheme="minorHAnsi" w:hAnsiTheme="minorHAnsi" w:cstheme="minorBidi"/>
          <w:b w:val="0"/>
          <w:sz w:val="22"/>
          <w:szCs w:val="22"/>
          <w:lang w:val="es-ES" w:eastAsia="en-US"/>
        </w:rPr>
        <w:t>Nota: El tratamiento combinado del fármaco en administración oral y rectal no ha mostrado mayor eficacia que la monoterapia por vía  oral en la CU en fase aguda y/o crónica.</w:t>
      </w:r>
    </w:p>
    <w:p w:rsidR="00DA6B0C" w:rsidRPr="00B1108B" w:rsidRDefault="00DA6B0C" w:rsidP="00DA6B0C">
      <w:pPr>
        <w:tabs>
          <w:tab w:val="num" w:pos="720"/>
        </w:tabs>
        <w:ind w:left="720" w:hanging="360"/>
        <w:jc w:val="both"/>
        <w:rPr>
          <w:rFonts w:ascii="Verdana" w:hAnsi="Verdana"/>
          <w:snapToGrid w:val="0"/>
        </w:rPr>
      </w:pPr>
    </w:p>
    <w:p w:rsidR="00DA6B0C" w:rsidRDefault="00DA6B0C" w:rsidP="00396EBC">
      <w:pPr>
        <w:numPr>
          <w:ilvl w:val="0"/>
          <w:numId w:val="18"/>
        </w:numPr>
        <w:spacing w:after="0" w:line="240" w:lineRule="auto"/>
        <w:jc w:val="both"/>
      </w:pPr>
      <w:r w:rsidRPr="00B9614D">
        <w:t>Pacientes con Enfermedad de Crohn leve o moderada. Dosis: hasta 3 gr/día en 3 t</w:t>
      </w:r>
      <w:r w:rsidR="00B9614D">
        <w:t xml:space="preserve">omas y en mantenimiento 1.600 </w:t>
      </w:r>
      <w:r w:rsidRPr="00B9614D">
        <w:t xml:space="preserve">  mg/día, en 2 administraciones.</w:t>
      </w:r>
    </w:p>
    <w:p w:rsidR="009B2827" w:rsidRPr="00B9614D" w:rsidRDefault="009B2827" w:rsidP="009B2827">
      <w:pPr>
        <w:spacing w:after="0" w:line="240" w:lineRule="auto"/>
        <w:jc w:val="both"/>
      </w:pPr>
    </w:p>
    <w:p w:rsidR="009B2827" w:rsidRDefault="009B2827" w:rsidP="009B2827">
      <w:pPr>
        <w:jc w:val="both"/>
        <w:rPr>
          <w:b/>
          <w:i/>
          <w:color w:val="1F3864" w:themeColor="accent1" w:themeShade="80"/>
        </w:rPr>
      </w:pPr>
    </w:p>
    <w:p w:rsidR="00DA6B0C" w:rsidRPr="00DE4AD3" w:rsidRDefault="009B2827" w:rsidP="00DE4AD3">
      <w:pPr>
        <w:jc w:val="both"/>
        <w:rPr>
          <w:b/>
          <w:i/>
          <w:color w:val="00B050"/>
        </w:rPr>
      </w:pPr>
      <w:r w:rsidRPr="00DE4AD3">
        <w:rPr>
          <w:b/>
          <w:i/>
          <w:color w:val="00B050"/>
        </w:rPr>
        <w:t>A08AB  DROGAS ANTIOBESIDAD DE ACCION PERISFERICA</w:t>
      </w:r>
    </w:p>
    <w:p w:rsidR="00C04E58" w:rsidRPr="00FC2431" w:rsidRDefault="00C04E58" w:rsidP="00C04E58">
      <w:pPr>
        <w:jc w:val="both"/>
        <w:rPr>
          <w:lang w:val="pt-BR"/>
        </w:rPr>
      </w:pPr>
      <w:bookmarkStart w:id="0" w:name="_Hlk526841640"/>
      <w:r w:rsidRPr="009B2827">
        <w:rPr>
          <w:b/>
          <w:i/>
          <w:color w:val="00B050"/>
          <w:lang w:val="pt-BR"/>
        </w:rPr>
        <w:t>A08AB</w:t>
      </w:r>
      <w:r w:rsidR="00BF00B2" w:rsidRPr="009B2827">
        <w:rPr>
          <w:b/>
          <w:i/>
          <w:color w:val="00B050"/>
          <w:lang w:val="pt-BR"/>
        </w:rPr>
        <w:t>01 ORLISTAT</w:t>
      </w:r>
      <w:proofErr w:type="gramStart"/>
      <w:r w:rsidRPr="00FC2431">
        <w:rPr>
          <w:lang w:val="pt-BR"/>
        </w:rPr>
        <w:t xml:space="preserve">  </w:t>
      </w:r>
    </w:p>
    <w:bookmarkEnd w:id="0"/>
    <w:p w:rsidR="00C04E58" w:rsidRPr="00FC2431" w:rsidRDefault="00C04E58" w:rsidP="005A466E">
      <w:pPr>
        <w:pStyle w:val="Prrafodelista"/>
        <w:numPr>
          <w:ilvl w:val="0"/>
          <w:numId w:val="7"/>
        </w:numPr>
        <w:jc w:val="both"/>
      </w:pPr>
      <w:proofErr w:type="gramEnd"/>
      <w:r w:rsidRPr="00FC2431">
        <w:t xml:space="preserve">Asociado a una dieta hipocalórica moderada, para el tratamiento de pacientes obesos con un índice de masa corporal (IMC) mayor o igual a 30 kg/m2. </w:t>
      </w:r>
    </w:p>
    <w:p w:rsidR="00C04E58" w:rsidRPr="00FC2431" w:rsidRDefault="00C04E58" w:rsidP="005A466E">
      <w:pPr>
        <w:pStyle w:val="Prrafodelista"/>
        <w:numPr>
          <w:ilvl w:val="0"/>
          <w:numId w:val="7"/>
        </w:numPr>
        <w:jc w:val="both"/>
      </w:pPr>
      <w:r w:rsidRPr="00FC2431">
        <w:t xml:space="preserve">Asociado a una dieta hipocalórica moderada en pacientes con sobrepeso (IMC = 28 kg/m2) con </w:t>
      </w:r>
      <w:r w:rsidRPr="00FC2431">
        <w:rPr>
          <w:u w:val="single"/>
        </w:rPr>
        <w:t>factores de riesgo asociados.</w:t>
      </w:r>
      <w:r w:rsidRPr="00FC2431">
        <w:t xml:space="preserve"> </w:t>
      </w:r>
    </w:p>
    <w:p w:rsidR="00C04E58" w:rsidRPr="00FC2431" w:rsidRDefault="00C04E58" w:rsidP="00C04E58">
      <w:pPr>
        <w:pStyle w:val="Prrafodelista"/>
        <w:jc w:val="both"/>
      </w:pPr>
      <w:r w:rsidRPr="00FC2431">
        <w:rPr>
          <w:u w:val="single"/>
        </w:rPr>
        <w:t xml:space="preserve">Dosis: </w:t>
      </w:r>
      <w:r w:rsidRPr="00FC2431">
        <w:t xml:space="preserve">120 mg hasta 3 veces al día. </w:t>
      </w:r>
    </w:p>
    <w:p w:rsidR="00C04E58" w:rsidRPr="00FC2431" w:rsidRDefault="00C04E58" w:rsidP="00C04E58">
      <w:pPr>
        <w:pStyle w:val="Prrafodelista"/>
        <w:jc w:val="both"/>
      </w:pPr>
      <w:r w:rsidRPr="00FC2431">
        <w:t xml:space="preserve">Con las 3 comidas principales (antes durante o hasta 1 hora después)  </w:t>
      </w:r>
    </w:p>
    <w:p w:rsidR="00C04E58" w:rsidRPr="00FC2431" w:rsidRDefault="00C04E58" w:rsidP="00C04E58">
      <w:pPr>
        <w:pStyle w:val="Prrafodelista"/>
        <w:jc w:val="both"/>
      </w:pPr>
      <w:r w:rsidRPr="00FC2431">
        <w:t xml:space="preserve">Para calcular el IMC  </w:t>
      </w:r>
      <w:hyperlink r:id="rId9" w:history="1">
        <w:r w:rsidRPr="00FC2431">
          <w:rPr>
            <w:rStyle w:val="Hipervnculo"/>
          </w:rPr>
          <w:t>https://guiafitness.com/calculadoras/imc</w:t>
        </w:r>
      </w:hyperlink>
      <w:r w:rsidRPr="00FC2431">
        <w:t xml:space="preserve"> </w:t>
      </w:r>
    </w:p>
    <w:p w:rsidR="00C04E58" w:rsidRDefault="00C04E58" w:rsidP="00C04E58">
      <w:pPr>
        <w:pStyle w:val="Prrafodelista"/>
        <w:jc w:val="both"/>
      </w:pPr>
      <w:r w:rsidRPr="00FC2431">
        <w:rPr>
          <w:u w:val="single"/>
        </w:rPr>
        <w:t>Nota</w:t>
      </w:r>
      <w:r w:rsidRPr="00FC2431">
        <w:t xml:space="preserve">: El tratamiento con orlistat </w:t>
      </w:r>
      <w:r w:rsidRPr="00FC2431">
        <w:rPr>
          <w:u w:val="single"/>
        </w:rPr>
        <w:t>debe interrumpirse después de 12 semanas si los pacientes no han perdido al menos el 5% del peso corporal</w:t>
      </w:r>
      <w:r w:rsidRPr="00FC2431">
        <w:t xml:space="preserve"> determinado al inicio del tratamiento</w:t>
      </w:r>
    </w:p>
    <w:p w:rsidR="005C6C52" w:rsidRDefault="005C6C52" w:rsidP="00C04E58">
      <w:pPr>
        <w:pStyle w:val="Prrafodelista"/>
        <w:jc w:val="both"/>
      </w:pPr>
    </w:p>
    <w:p w:rsidR="005C6C52" w:rsidRPr="00DE4AD3" w:rsidRDefault="005C6C52" w:rsidP="005C6C52">
      <w:pPr>
        <w:tabs>
          <w:tab w:val="left" w:pos="1320"/>
        </w:tabs>
        <w:ind w:left="113"/>
        <w:rPr>
          <w:b/>
          <w:i/>
          <w:color w:val="00B050"/>
        </w:rPr>
      </w:pPr>
      <w:r w:rsidRPr="00DE4AD3">
        <w:rPr>
          <w:b/>
          <w:i/>
          <w:color w:val="00B050"/>
        </w:rPr>
        <w:t>A10</w:t>
      </w:r>
      <w:r w:rsidRPr="00DE4AD3">
        <w:rPr>
          <w:b/>
          <w:i/>
          <w:color w:val="00B050"/>
        </w:rPr>
        <w:tab/>
        <w:t>FARMACOS DE USO EN DIABETES</w:t>
      </w:r>
    </w:p>
    <w:p w:rsidR="005C6C52" w:rsidRPr="005C6C52" w:rsidRDefault="005C6C52" w:rsidP="005C6C52">
      <w:pPr>
        <w:tabs>
          <w:tab w:val="left" w:pos="1320"/>
        </w:tabs>
        <w:ind w:left="113"/>
        <w:jc w:val="both"/>
      </w:pPr>
      <w:r w:rsidRPr="005C6C52">
        <w:t>La diabetes mellitus (DM) es una enfermedad prevalente (7% esperado en la población general y 10% en mayores de 40 años)  de alto impacto sobre la salud pública, la sociedad, la producción y la economía.</w:t>
      </w:r>
    </w:p>
    <w:p w:rsidR="005C6C52" w:rsidRPr="005C6C52" w:rsidRDefault="005C6C52" w:rsidP="005C6C52">
      <w:pPr>
        <w:tabs>
          <w:tab w:val="left" w:pos="1320"/>
        </w:tabs>
        <w:ind w:left="113"/>
        <w:jc w:val="both"/>
      </w:pPr>
      <w:r w:rsidRPr="005C6C52">
        <w:t xml:space="preserve">La tasa de detección de la enfermedad es inferior al 50% en los principales estudios epidemiológicos. Sus formas de presentación son: a) la diabetes tipo II (90-95% de los casos) o no insulinodependiente (DMNID) donde aparece resistencia a la insulina y una deficiencia relativa o defecto de su secreción que representa un desafío sanitario por la necesidad de planificar su prevención y detección temprana en atención primaria y b) la diabetes tipo I (5-10%) o insulinodependiente (DMID) donde se verifica una deficiencia absoluta de insulina provocada por una respuesta inmune inadecuada o una disfunción idiopática de la célula beta pancreática que impone una terapia hormonal sustitutiva </w:t>
      </w:r>
      <w:proofErr w:type="spellStart"/>
      <w:r w:rsidRPr="005C6C52">
        <w:t>autoadministrada</w:t>
      </w:r>
      <w:proofErr w:type="spellEnd"/>
      <w:r w:rsidRPr="005C6C52">
        <w:t xml:space="preserve"> con monitoreo intensivo de muy alto costo (directo, indirecto y marginal). </w:t>
      </w:r>
    </w:p>
    <w:p w:rsidR="005C6C52" w:rsidRPr="005C6C52" w:rsidRDefault="005C6C52" w:rsidP="005C6C52">
      <w:pPr>
        <w:tabs>
          <w:tab w:val="left" w:pos="1320"/>
        </w:tabs>
        <w:ind w:left="113"/>
        <w:jc w:val="both"/>
      </w:pPr>
    </w:p>
    <w:p w:rsidR="005C6C52" w:rsidRPr="005C6C52" w:rsidRDefault="005C6C52" w:rsidP="005C6C52">
      <w:pPr>
        <w:tabs>
          <w:tab w:val="left" w:pos="1320"/>
        </w:tabs>
        <w:ind w:left="113"/>
        <w:jc w:val="both"/>
      </w:pPr>
      <w:r w:rsidRPr="005C6C52">
        <w:lastRenderedPageBreak/>
        <w:t xml:space="preserve">Los pacientes con DM tienen riesgo cierto de presentar complicaciones </w:t>
      </w:r>
      <w:proofErr w:type="spellStart"/>
      <w:r w:rsidRPr="005C6C52">
        <w:t>microvascualres</w:t>
      </w:r>
      <w:proofErr w:type="spellEnd"/>
      <w:r w:rsidRPr="005C6C52">
        <w:t xml:space="preserve"> (retinopatía, neuropatía y nefropatía) y </w:t>
      </w:r>
      <w:proofErr w:type="spellStart"/>
      <w:r w:rsidRPr="005C6C52">
        <w:t>macrovasculares</w:t>
      </w:r>
      <w:proofErr w:type="spellEnd"/>
      <w:r w:rsidRPr="005C6C52">
        <w:t xml:space="preserve"> (enfermedad coronaria e infarto de miocardio, enfermedad vascular cerebral y arterial periférica) que incrementan la morbilidad y mortalidad y afectan severamente su calidad de vida. </w:t>
      </w:r>
    </w:p>
    <w:p w:rsidR="005C6C52" w:rsidRPr="005C6C52" w:rsidRDefault="005C6C52" w:rsidP="005C6C52">
      <w:pPr>
        <w:tabs>
          <w:tab w:val="left" w:pos="1320"/>
        </w:tabs>
        <w:ind w:left="113"/>
        <w:jc w:val="both"/>
      </w:pPr>
    </w:p>
    <w:p w:rsidR="005C6C52" w:rsidRPr="005C6C52" w:rsidRDefault="005C6C52" w:rsidP="005C6C52">
      <w:pPr>
        <w:tabs>
          <w:tab w:val="left" w:pos="1320"/>
        </w:tabs>
        <w:ind w:left="113"/>
        <w:jc w:val="both"/>
      </w:pPr>
      <w:r w:rsidRPr="005C6C52">
        <w:t>Las metas del tratamiento entonces están dadas por 1) un estricto control metabólico (glucemia basal entre 90-1</w:t>
      </w:r>
      <w:r w:rsidR="00146B5E">
        <w:t xml:space="preserve">30mg/dl; glucemia postprandial </w:t>
      </w:r>
      <w:r w:rsidRPr="005C6C52">
        <w:t xml:space="preserve">&lt;180mg/dl y niveles de hemoglobina </w:t>
      </w:r>
      <w:proofErr w:type="spellStart"/>
      <w:r w:rsidRPr="005C6C52">
        <w:t>glicosilada</w:t>
      </w:r>
      <w:proofErr w:type="spellEnd"/>
      <w:r w:rsidRPr="005C6C52">
        <w:t xml:space="preserve"> (HbA1C) del orden de 6,5-7% que han demostrado reducción de las complicaciones </w:t>
      </w:r>
      <w:proofErr w:type="spellStart"/>
      <w:r w:rsidRPr="005C6C52">
        <w:t>microvasculares</w:t>
      </w:r>
      <w:proofErr w:type="spellEnd"/>
      <w:r w:rsidRPr="005C6C52">
        <w:t xml:space="preserve"> en DM tipo I con insulinoterapia intensiva (Diabetes Control and </w:t>
      </w:r>
      <w:proofErr w:type="spellStart"/>
      <w:r w:rsidRPr="005C6C52">
        <w:t>Complications</w:t>
      </w:r>
      <w:proofErr w:type="spellEnd"/>
      <w:r w:rsidRPr="005C6C52">
        <w:t xml:space="preserve"> Trial - DCCT); y subsidiariamente en el </w:t>
      </w:r>
      <w:proofErr w:type="spellStart"/>
      <w:r w:rsidRPr="005C6C52">
        <w:t>United</w:t>
      </w:r>
      <w:proofErr w:type="spellEnd"/>
      <w:r w:rsidRPr="005C6C52">
        <w:t xml:space="preserve"> </w:t>
      </w:r>
      <w:proofErr w:type="spellStart"/>
      <w:r w:rsidRPr="005C6C52">
        <w:t>Kingdom</w:t>
      </w:r>
      <w:proofErr w:type="spellEnd"/>
      <w:r w:rsidRPr="005C6C52">
        <w:t xml:space="preserve"> </w:t>
      </w:r>
      <w:proofErr w:type="spellStart"/>
      <w:r w:rsidRPr="005C6C52">
        <w:t>Prospective</w:t>
      </w:r>
      <w:proofErr w:type="spellEnd"/>
      <w:r w:rsidRPr="005C6C52">
        <w:t xml:space="preserve"> Diabetes </w:t>
      </w:r>
      <w:proofErr w:type="spellStart"/>
      <w:r w:rsidRPr="005C6C52">
        <w:t>Study</w:t>
      </w:r>
      <w:proofErr w:type="spellEnd"/>
      <w:r w:rsidRPr="005C6C52">
        <w:t xml:space="preserve"> (UKPDS) que confirmo reducción del riesgo de complicaciones </w:t>
      </w:r>
      <w:proofErr w:type="spellStart"/>
      <w:r w:rsidRPr="005C6C52">
        <w:t>microvasculares</w:t>
      </w:r>
      <w:proofErr w:type="spellEnd"/>
      <w:r w:rsidRPr="005C6C52">
        <w:t xml:space="preserve"> en esquemas de control metabólico intensivo en DM tipo II y tendencia a reducir las complicaciones </w:t>
      </w:r>
      <w:proofErr w:type="spellStart"/>
      <w:r w:rsidRPr="005C6C52">
        <w:t>macrovasculares</w:t>
      </w:r>
      <w:proofErr w:type="spellEnd"/>
      <w:r w:rsidRPr="005C6C52">
        <w:t xml:space="preserve"> 2) control de factores de riesgo asociados (</w:t>
      </w:r>
      <w:proofErr w:type="spellStart"/>
      <w:r w:rsidRPr="005C6C52">
        <w:t>dislipemias</w:t>
      </w:r>
      <w:proofErr w:type="spellEnd"/>
      <w:r w:rsidRPr="005C6C52">
        <w:t xml:space="preserve">, hipertensión arterial y obesidad) de alto impacto en la aparición, evolución y pronóstico de las complicaciones micro y </w:t>
      </w:r>
      <w:proofErr w:type="spellStart"/>
      <w:r w:rsidRPr="005C6C52">
        <w:t>macrovasculares</w:t>
      </w:r>
      <w:proofErr w:type="spellEnd"/>
      <w:r w:rsidRPr="005C6C52">
        <w:t xml:space="preserve">, con las siguientes metas: IMC &lt; 25kg/m2, TA &lt;130-80 </w:t>
      </w:r>
      <w:proofErr w:type="spellStart"/>
      <w:r w:rsidRPr="005C6C52">
        <w:t>mmHg</w:t>
      </w:r>
      <w:proofErr w:type="spellEnd"/>
      <w:r w:rsidRPr="005C6C52">
        <w:t xml:space="preserve"> y &lt;125-75 en pacientes con nefropatía y proteinuria mayor a 1g/24hs, LDL &lt;100mg/dl y en casos con enfermedad coronaria &lt;70mg/dl y HDL &gt;40mg/dl en el varón y &gt;50mg/dl en la mujer con triglicéridos normales y 3) plan de dieta, reducción de peso y ejercicio adecuado a cada paciente, educación para su cuidado personal y por último terapia con insulina o hipoglucemiantes orales, según corresponda con instrucciones precisas para el adecuado cumplimiento del tratamiento y su monitoreo, a cargo del paciente y su grupo familiar. </w:t>
      </w:r>
    </w:p>
    <w:p w:rsidR="005C6C52" w:rsidRPr="005C6C52" w:rsidRDefault="005C6C52" w:rsidP="005C6C52">
      <w:pPr>
        <w:tabs>
          <w:tab w:val="left" w:pos="1320"/>
        </w:tabs>
        <w:ind w:left="113"/>
        <w:jc w:val="both"/>
      </w:pPr>
    </w:p>
    <w:p w:rsidR="005C6C52" w:rsidRPr="005C6C52" w:rsidRDefault="005C6C52" w:rsidP="005C6C52">
      <w:pPr>
        <w:tabs>
          <w:tab w:val="left" w:pos="1320"/>
        </w:tabs>
        <w:ind w:left="113"/>
        <w:jc w:val="both"/>
      </w:pPr>
      <w:r w:rsidRPr="005C6C52">
        <w:t>Recordemos que la investigación clínica para evaluar el control metabólico intensivo (niveles de HbA1C igual o inferiores a 6,5%, han estado emparentados a un mayor riesgo de presentar eventos CV fatales según se desprende del ensayo ACCORD (</w:t>
      </w:r>
      <w:proofErr w:type="spellStart"/>
      <w:r w:rsidRPr="005C6C52">
        <w:t>Action</w:t>
      </w:r>
      <w:proofErr w:type="spellEnd"/>
      <w:r w:rsidRPr="005C6C52">
        <w:t xml:space="preserve"> to Control Cardiovascular </w:t>
      </w:r>
      <w:proofErr w:type="spellStart"/>
      <w:r w:rsidRPr="005C6C52">
        <w:t>Risk</w:t>
      </w:r>
      <w:proofErr w:type="spellEnd"/>
      <w:r w:rsidRPr="005C6C52">
        <w:t xml:space="preserve"> in Diabetes), mostró solo beneficios marginales sobre las complicaciones </w:t>
      </w:r>
      <w:proofErr w:type="spellStart"/>
      <w:r w:rsidRPr="005C6C52">
        <w:t>microvasculares</w:t>
      </w:r>
      <w:proofErr w:type="spellEnd"/>
      <w:r w:rsidRPr="005C6C52">
        <w:t xml:space="preserve"> sin impacto sobre mortalidad en el estudio ADVANCE (</w:t>
      </w:r>
      <w:proofErr w:type="spellStart"/>
      <w:r w:rsidRPr="005C6C52">
        <w:t>Action</w:t>
      </w:r>
      <w:proofErr w:type="spellEnd"/>
      <w:r w:rsidRPr="005C6C52">
        <w:t xml:space="preserve"> in Diabetes and Vascular </w:t>
      </w:r>
      <w:proofErr w:type="spellStart"/>
      <w:r w:rsidRPr="005C6C52">
        <w:t>Disease</w:t>
      </w:r>
      <w:proofErr w:type="spellEnd"/>
      <w:r w:rsidRPr="005C6C52">
        <w:t xml:space="preserve">), por lo que la meta de control metabólico debe considerar estos aspectos en cada caso. Se recomiendan 2 controles anuales de HbA1C para pacientes dentro de metas y cada 3 meses en aquellos que no han logrado dicho objetivo. </w:t>
      </w:r>
    </w:p>
    <w:p w:rsidR="005C6C52" w:rsidRPr="005C6C52" w:rsidRDefault="005C6C52" w:rsidP="005C6C52">
      <w:pPr>
        <w:tabs>
          <w:tab w:val="left" w:pos="1320"/>
        </w:tabs>
        <w:ind w:left="113"/>
        <w:jc w:val="both"/>
      </w:pPr>
    </w:p>
    <w:p w:rsidR="005C6C52" w:rsidRPr="005C6C52" w:rsidRDefault="005C6C52" w:rsidP="005C6C52">
      <w:pPr>
        <w:tabs>
          <w:tab w:val="left" w:pos="1320"/>
        </w:tabs>
        <w:ind w:left="113"/>
        <w:jc w:val="both"/>
      </w:pPr>
      <w:r w:rsidRPr="005C6C52">
        <w:t>Hasta ahora y según la evidencia científica disponible los medicamentos de mayor valor terapéutico en DM son:</w:t>
      </w:r>
    </w:p>
    <w:p w:rsidR="005C6C52" w:rsidRPr="005C6C52" w:rsidRDefault="005C6C52" w:rsidP="005C6C52">
      <w:pPr>
        <w:tabs>
          <w:tab w:val="left" w:pos="1320"/>
        </w:tabs>
        <w:ind w:left="113"/>
        <w:jc w:val="both"/>
      </w:pPr>
    </w:p>
    <w:p w:rsidR="005C6C52" w:rsidRPr="005C6C52" w:rsidRDefault="005C6C52" w:rsidP="00396EBC">
      <w:pPr>
        <w:numPr>
          <w:ilvl w:val="0"/>
          <w:numId w:val="18"/>
        </w:numPr>
        <w:spacing w:after="0" w:line="240" w:lineRule="auto"/>
        <w:jc w:val="both"/>
      </w:pPr>
      <w:r w:rsidRPr="005C6C52">
        <w:t xml:space="preserve">Insulina humana convencional, </w:t>
      </w:r>
      <w:proofErr w:type="spellStart"/>
      <w:r w:rsidRPr="005C6C52">
        <w:t>metformina</w:t>
      </w:r>
      <w:proofErr w:type="spellEnd"/>
      <w:r w:rsidRPr="005C6C52">
        <w:t xml:space="preserve">, </w:t>
      </w:r>
      <w:proofErr w:type="spellStart"/>
      <w:r w:rsidRPr="005C6C52">
        <w:t>glibenclamida</w:t>
      </w:r>
      <w:proofErr w:type="spellEnd"/>
      <w:r w:rsidRPr="005C6C52">
        <w:t xml:space="preserve">, </w:t>
      </w:r>
      <w:proofErr w:type="spellStart"/>
      <w:r w:rsidRPr="005C6C52">
        <w:t>clorpropamida</w:t>
      </w:r>
      <w:proofErr w:type="spellEnd"/>
      <w:r w:rsidRPr="005C6C52">
        <w:t xml:space="preserve"> son los más relevantes porque han probado impacto sobre morbilidad y mortalidad.</w:t>
      </w:r>
    </w:p>
    <w:p w:rsidR="005C6C52" w:rsidRPr="005C6C52" w:rsidRDefault="005C6C52" w:rsidP="00396EBC">
      <w:pPr>
        <w:numPr>
          <w:ilvl w:val="0"/>
          <w:numId w:val="18"/>
        </w:numPr>
        <w:spacing w:after="0" w:line="240" w:lineRule="auto"/>
        <w:jc w:val="both"/>
      </w:pPr>
      <w:r w:rsidRPr="005C6C52">
        <w:t xml:space="preserve">La </w:t>
      </w:r>
      <w:proofErr w:type="spellStart"/>
      <w:r w:rsidRPr="005C6C52">
        <w:t>metformina</w:t>
      </w:r>
      <w:proofErr w:type="spellEnd"/>
      <w:r w:rsidRPr="005C6C52">
        <w:t xml:space="preserve"> ha probado disminuir las complicaciones </w:t>
      </w:r>
      <w:proofErr w:type="spellStart"/>
      <w:r w:rsidRPr="005C6C52">
        <w:t>macrovasculares</w:t>
      </w:r>
      <w:proofErr w:type="spellEnd"/>
      <w:r w:rsidRPr="005C6C52">
        <w:t xml:space="preserve">, especialmente en pacientes obesos mientras las </w:t>
      </w:r>
      <w:proofErr w:type="spellStart"/>
      <w:r w:rsidRPr="005C6C52">
        <w:t>microvasculares</w:t>
      </w:r>
      <w:proofErr w:type="spellEnd"/>
      <w:r w:rsidRPr="005C6C52">
        <w:t xml:space="preserve"> mostraron tendencia a la reducción pero sin significación estadística; es el fármaco inicial de elección en todos los pacientes con diabetes tipo 2 (salvo intolerancia o contraindicación). No produce hipoglucemia, ni aumento de peso, y reduce las complicaciones </w:t>
      </w:r>
      <w:proofErr w:type="spellStart"/>
      <w:r w:rsidRPr="005C6C52">
        <w:t>macrovasculares</w:t>
      </w:r>
      <w:proofErr w:type="spellEnd"/>
      <w:r w:rsidRPr="005C6C52">
        <w:t xml:space="preserve">, siendo el único antidiabético que ha </w:t>
      </w:r>
      <w:r w:rsidRPr="005C6C52">
        <w:lastRenderedPageBreak/>
        <w:t xml:space="preserve">demostrado reducción de la mortalidad (UKPDS 34, 1998; </w:t>
      </w:r>
      <w:proofErr w:type="spellStart"/>
      <w:r w:rsidRPr="005C6C52">
        <w:t>Holman</w:t>
      </w:r>
      <w:proofErr w:type="spellEnd"/>
      <w:r w:rsidRPr="005C6C52">
        <w:t xml:space="preserve"> RR, 2008; NICE, 2009; MSC, 2008; </w:t>
      </w:r>
      <w:proofErr w:type="spellStart"/>
      <w:r w:rsidRPr="005C6C52">
        <w:t>Nathan</w:t>
      </w:r>
      <w:proofErr w:type="spellEnd"/>
      <w:r w:rsidRPr="005C6C52">
        <w:t xml:space="preserve"> DM, 2009). </w:t>
      </w:r>
    </w:p>
    <w:p w:rsidR="005C6C52" w:rsidRPr="005C6C52" w:rsidRDefault="005C6C52" w:rsidP="00396EBC">
      <w:pPr>
        <w:numPr>
          <w:ilvl w:val="0"/>
          <w:numId w:val="18"/>
        </w:numPr>
        <w:spacing w:after="0" w:line="240" w:lineRule="auto"/>
        <w:jc w:val="both"/>
      </w:pPr>
      <w:r w:rsidRPr="005C6C52">
        <w:t xml:space="preserve">Las </w:t>
      </w:r>
      <w:proofErr w:type="spellStart"/>
      <w:r w:rsidRPr="005C6C52">
        <w:t>sulfonilureas</w:t>
      </w:r>
      <w:proofErr w:type="spellEnd"/>
      <w:r w:rsidRPr="005C6C52">
        <w:t xml:space="preserve"> – </w:t>
      </w:r>
      <w:proofErr w:type="spellStart"/>
      <w:r w:rsidRPr="005C6C52">
        <w:t>glibenclamida</w:t>
      </w:r>
      <w:proofErr w:type="spellEnd"/>
      <w:r w:rsidRPr="005C6C52">
        <w:t xml:space="preserve"> y </w:t>
      </w:r>
      <w:proofErr w:type="spellStart"/>
      <w:r w:rsidRPr="005C6C52">
        <w:t>glipizida</w:t>
      </w:r>
      <w:proofErr w:type="spellEnd"/>
      <w:r w:rsidRPr="005C6C52">
        <w:t xml:space="preserve"> - reducen el riesgo de complicaciones </w:t>
      </w:r>
      <w:proofErr w:type="spellStart"/>
      <w:r w:rsidRPr="005C6C52">
        <w:t>microvasculares</w:t>
      </w:r>
      <w:proofErr w:type="spellEnd"/>
      <w:r w:rsidRPr="005C6C52">
        <w:t xml:space="preserve"> y a largo plazo también las </w:t>
      </w:r>
      <w:proofErr w:type="spellStart"/>
      <w:r w:rsidRPr="005C6C52">
        <w:t>macrovasculares</w:t>
      </w:r>
      <w:proofErr w:type="spellEnd"/>
      <w:r w:rsidRPr="005C6C52">
        <w:t xml:space="preserve"> (UKPDS 33, 1998; </w:t>
      </w:r>
      <w:proofErr w:type="spellStart"/>
      <w:r w:rsidRPr="005C6C52">
        <w:t>Holman</w:t>
      </w:r>
      <w:proofErr w:type="spellEnd"/>
      <w:r w:rsidRPr="005C6C52">
        <w:t xml:space="preserve"> RR, 2008; NICE, 2009; MSC, 2008; </w:t>
      </w:r>
      <w:proofErr w:type="spellStart"/>
      <w:r w:rsidRPr="005C6C52">
        <w:t>Nathan</w:t>
      </w:r>
      <w:proofErr w:type="spellEnd"/>
      <w:r w:rsidRPr="005C6C52">
        <w:t xml:space="preserve"> DM, 2009).</w:t>
      </w:r>
    </w:p>
    <w:p w:rsidR="005C6C52" w:rsidRPr="005C6C52" w:rsidRDefault="005C6C52" w:rsidP="00396EBC">
      <w:pPr>
        <w:numPr>
          <w:ilvl w:val="0"/>
          <w:numId w:val="18"/>
        </w:numPr>
        <w:spacing w:after="0" w:line="240" w:lineRule="auto"/>
        <w:jc w:val="both"/>
      </w:pPr>
      <w:r w:rsidRPr="005C6C52">
        <w:t xml:space="preserve">La </w:t>
      </w:r>
      <w:proofErr w:type="spellStart"/>
      <w:r w:rsidRPr="005C6C52">
        <w:t>clorpropamida</w:t>
      </w:r>
      <w:proofErr w:type="spellEnd"/>
      <w:r w:rsidRPr="005C6C52">
        <w:t xml:space="preserve"> mostró beneficios análogos pero ha dejado de utilizarse por su vida media prolongada que condicionaba severas hipoglucemias de dificultosa recuperación. </w:t>
      </w:r>
    </w:p>
    <w:p w:rsidR="005C6C52" w:rsidRPr="005C6C52" w:rsidRDefault="005C6C52" w:rsidP="00396EBC">
      <w:pPr>
        <w:numPr>
          <w:ilvl w:val="0"/>
          <w:numId w:val="18"/>
        </w:numPr>
        <w:spacing w:after="0" w:line="240" w:lineRule="auto"/>
        <w:jc w:val="both"/>
      </w:pPr>
      <w:r w:rsidRPr="005C6C52">
        <w:t xml:space="preserve">Faltan estudios a largo plazo que muestren impacto sobre morbilidad y mortalidad para los otros grupos farmacológicos, que incluyen las insulinas modificadas (insulinas </w:t>
      </w:r>
      <w:proofErr w:type="spellStart"/>
      <w:r w:rsidRPr="005C6C52">
        <w:t>lispro</w:t>
      </w:r>
      <w:proofErr w:type="spellEnd"/>
      <w:r w:rsidRPr="005C6C52">
        <w:t xml:space="preserve">, aspártica, </w:t>
      </w:r>
      <w:proofErr w:type="spellStart"/>
      <w:r w:rsidRPr="005C6C52">
        <w:t>detemir</w:t>
      </w:r>
      <w:proofErr w:type="spellEnd"/>
      <w:r w:rsidRPr="005C6C52">
        <w:t xml:space="preserve"> y </w:t>
      </w:r>
      <w:proofErr w:type="spellStart"/>
      <w:r w:rsidRPr="005C6C52">
        <w:t>glargina</w:t>
      </w:r>
      <w:proofErr w:type="spellEnd"/>
      <w:r w:rsidRPr="005C6C52">
        <w:t xml:space="preserve">), la </w:t>
      </w:r>
      <w:proofErr w:type="spellStart"/>
      <w:r w:rsidRPr="005C6C52">
        <w:t>glimepirida</w:t>
      </w:r>
      <w:proofErr w:type="spellEnd"/>
      <w:r w:rsidRPr="005C6C52">
        <w:t xml:space="preserve">, la </w:t>
      </w:r>
      <w:proofErr w:type="spellStart"/>
      <w:r w:rsidRPr="005C6C52">
        <w:t>nateglimida</w:t>
      </w:r>
      <w:proofErr w:type="spellEnd"/>
      <w:r w:rsidRPr="005C6C52">
        <w:t xml:space="preserve">,  </w:t>
      </w:r>
      <w:proofErr w:type="spellStart"/>
      <w:r w:rsidRPr="005C6C52">
        <w:t>repaglimida</w:t>
      </w:r>
      <w:proofErr w:type="spellEnd"/>
      <w:r w:rsidRPr="005C6C52">
        <w:t>, los inhibidores DPP-4 y los análogos GLP-1.</w:t>
      </w:r>
    </w:p>
    <w:p w:rsidR="005C6C52" w:rsidRPr="005C6C52" w:rsidRDefault="005C6C52" w:rsidP="005C6C52">
      <w:pPr>
        <w:ind w:left="1080"/>
        <w:jc w:val="both"/>
      </w:pPr>
      <w:r w:rsidRPr="005C6C52">
        <w:t xml:space="preserve"> </w:t>
      </w:r>
    </w:p>
    <w:p w:rsidR="005C6C52" w:rsidRPr="005C6C52" w:rsidRDefault="005C6C52" w:rsidP="005C6C52">
      <w:pPr>
        <w:jc w:val="both"/>
      </w:pPr>
      <w:r w:rsidRPr="005C6C52">
        <w:t>Los medicamentos de mayor valor terapéutico señalados en DM, tienen la ventaja adicional de ser un 70% más baratos (</w:t>
      </w:r>
      <w:proofErr w:type="spellStart"/>
      <w:r w:rsidRPr="005C6C52">
        <w:t>metformina</w:t>
      </w:r>
      <w:proofErr w:type="spellEnd"/>
      <w:r w:rsidRPr="005C6C52">
        <w:t xml:space="preserve"> y </w:t>
      </w:r>
      <w:proofErr w:type="spellStart"/>
      <w:r w:rsidRPr="005C6C52">
        <w:t>glibenclamida</w:t>
      </w:r>
      <w:proofErr w:type="spellEnd"/>
      <w:r w:rsidRPr="005C6C52">
        <w:t>) y un 50% más baratos (insulina humana de acción intermedia y rápida no modificada) frente a sus respectivas opciones de reciente y costosa aparición.</w:t>
      </w:r>
    </w:p>
    <w:p w:rsidR="005C6C52" w:rsidRPr="005C6C52" w:rsidRDefault="005C6C52" w:rsidP="005C6C52">
      <w:pPr>
        <w:jc w:val="both"/>
      </w:pPr>
      <w:r w:rsidRPr="005C6C52">
        <w:t xml:space="preserve">El SEMPRE otorga cobertura al 100% para los fármacos de mayor valor terapéutico destinados al tratamiento de la diabetes  incluyendo la terapia con insulinas convencionales y modificadas, hipoglucemiantes orales, </w:t>
      </w:r>
      <w:proofErr w:type="spellStart"/>
      <w:r w:rsidRPr="005C6C52">
        <w:t>antihiperglucemiantes</w:t>
      </w:r>
      <w:proofErr w:type="spellEnd"/>
      <w:r w:rsidRPr="005C6C52">
        <w:t xml:space="preserve"> así como los elementos de </w:t>
      </w:r>
      <w:proofErr w:type="spellStart"/>
      <w:r w:rsidRPr="005C6C52">
        <w:t>automonitoreo</w:t>
      </w:r>
      <w:proofErr w:type="spellEnd"/>
      <w:r w:rsidRPr="005C6C52">
        <w:t xml:space="preserve"> para su administración en pacientes insulinodependientes o </w:t>
      </w:r>
      <w:proofErr w:type="spellStart"/>
      <w:r w:rsidRPr="005C6C52">
        <w:t>insulinorequirientes</w:t>
      </w:r>
      <w:proofErr w:type="spellEnd"/>
      <w:r w:rsidRPr="005C6C52">
        <w:t xml:space="preserve">. </w:t>
      </w:r>
    </w:p>
    <w:p w:rsidR="005C6C52" w:rsidRPr="005C6C52" w:rsidRDefault="005C6C52" w:rsidP="005C6C52">
      <w:pPr>
        <w:jc w:val="both"/>
      </w:pPr>
    </w:p>
    <w:p w:rsidR="005C6C52" w:rsidRPr="005C6C52" w:rsidRDefault="005C6C52" w:rsidP="005C6C52">
      <w:pPr>
        <w:jc w:val="both"/>
      </w:pPr>
      <w:r w:rsidRPr="005C6C52">
        <w:t>Las presentes recomendaciones promueven el empleo de los tratamientos de mayor valor terapéutico, y menor riesgo, considerando que los fármacos de alternativa (</w:t>
      </w:r>
      <w:proofErr w:type="spellStart"/>
      <w:r w:rsidRPr="005C6C52">
        <w:t>glimepirida</w:t>
      </w:r>
      <w:proofErr w:type="spellEnd"/>
      <w:r w:rsidRPr="005C6C52">
        <w:t xml:space="preserve">, </w:t>
      </w:r>
      <w:proofErr w:type="spellStart"/>
      <w:r w:rsidRPr="005C6C52">
        <w:t>nateglimida</w:t>
      </w:r>
      <w:proofErr w:type="spellEnd"/>
      <w:r w:rsidRPr="005C6C52">
        <w:t xml:space="preserve">, </w:t>
      </w:r>
      <w:proofErr w:type="spellStart"/>
      <w:r w:rsidRPr="005C6C52">
        <w:t>repaglimida</w:t>
      </w:r>
      <w:proofErr w:type="spellEnd"/>
      <w:r w:rsidRPr="005C6C52">
        <w:t xml:space="preserve"> y los inhibidores DPP-4) en diabetes tipo II no alcanzaron hasta el momento evidencia de impacto sobre las variables epidemiológicas de morbilidad y mortalidad y que las </w:t>
      </w:r>
      <w:proofErr w:type="spellStart"/>
      <w:r w:rsidRPr="005C6C52">
        <w:t>tiazolidindionas</w:t>
      </w:r>
      <w:proofErr w:type="spellEnd"/>
      <w:r w:rsidRPr="005C6C52">
        <w:t xml:space="preserve"> siguen mostrando problemas graves de seguridad.  </w:t>
      </w:r>
    </w:p>
    <w:p w:rsidR="005C6C52" w:rsidRPr="005C6C52" w:rsidRDefault="005C6C52" w:rsidP="005C6C52">
      <w:pPr>
        <w:jc w:val="both"/>
      </w:pPr>
    </w:p>
    <w:p w:rsidR="005C6C52" w:rsidRPr="005C6C52" w:rsidRDefault="005C6C52" w:rsidP="005C6C52">
      <w:pPr>
        <w:jc w:val="both"/>
      </w:pPr>
      <w:r w:rsidRPr="005C6C52">
        <w:t xml:space="preserve">La </w:t>
      </w:r>
      <w:proofErr w:type="spellStart"/>
      <w:r w:rsidRPr="005C6C52">
        <w:t>rosiglitazona</w:t>
      </w:r>
      <w:proofErr w:type="spellEnd"/>
      <w:r w:rsidRPr="005C6C52">
        <w:t xml:space="preserve"> en razón de la evidencia de mayor riesgo CV y de fracturas observado entre sus utilizadores, perdió su lugar en la terapéutica racional y en varios países fue retirada del mercado. </w:t>
      </w:r>
    </w:p>
    <w:p w:rsidR="005C6C52" w:rsidRPr="005C6C52" w:rsidRDefault="005C6C52" w:rsidP="005C6C52">
      <w:pPr>
        <w:jc w:val="both"/>
      </w:pPr>
      <w:r w:rsidRPr="005C6C52">
        <w:t xml:space="preserve">La evaluación de su relación beneficio-riesgo en Europa, ha concluido que los potenciales riesgos de tipo cardiovascular de los medicamentos que contienen </w:t>
      </w:r>
      <w:proofErr w:type="spellStart"/>
      <w:r w:rsidRPr="005C6C52">
        <w:t>rosiglitazona</w:t>
      </w:r>
      <w:proofErr w:type="spellEnd"/>
      <w:r w:rsidRPr="005C6C52">
        <w:t xml:space="preserve"> superan sus posibles beneficios. En consecuencia, se decidió suspender la comercialización de dichos medicamentos, que dejaron de estar disponibles en España, y otros países. En Argentina solo se han realizado recomendaciones restrictivas de tipo administrativo.  </w:t>
      </w:r>
    </w:p>
    <w:p w:rsidR="005C6C52" w:rsidRPr="005C6C52" w:rsidRDefault="005C6C52" w:rsidP="005C6C52">
      <w:pPr>
        <w:jc w:val="both"/>
      </w:pPr>
      <w:r w:rsidRPr="005C6C52">
        <w:t xml:space="preserve">Retirada la </w:t>
      </w:r>
      <w:proofErr w:type="spellStart"/>
      <w:r w:rsidRPr="005C6C52">
        <w:t>rosiglitazona</w:t>
      </w:r>
      <w:proofErr w:type="spellEnd"/>
      <w:r w:rsidRPr="005C6C52">
        <w:t xml:space="preserve">, la </w:t>
      </w:r>
      <w:proofErr w:type="spellStart"/>
      <w:r w:rsidRPr="005C6C52">
        <w:t>pioglitazona</w:t>
      </w:r>
      <w:proofErr w:type="spellEnd"/>
      <w:r w:rsidRPr="005C6C52">
        <w:t xml:space="preserve"> mostró un probable aumento del riesgo de cáncer de vejiga entre sus utilizadores de larga data. En junio 2011 fue suspendida su comercialización en Francia y Alemania, sin que hasta ahora la EMEA y la FDA se hayan expedido. En el ensayo </w:t>
      </w:r>
      <w:proofErr w:type="spellStart"/>
      <w:r w:rsidRPr="005C6C52">
        <w:t>PROactive</w:t>
      </w:r>
      <w:proofErr w:type="spellEnd"/>
      <w:r w:rsidRPr="005C6C52">
        <w:t xml:space="preserve">, en pacientes diabéticos con episodios cardiovasculares previos (prevención secundaria), se registró un incremento marginalmente significativo de la incidencia de cáncer de vejiga entre los tratados con </w:t>
      </w:r>
      <w:proofErr w:type="spellStart"/>
      <w:r w:rsidRPr="005C6C52">
        <w:t>pioglitazona</w:t>
      </w:r>
      <w:proofErr w:type="spellEnd"/>
      <w:r w:rsidRPr="005C6C52">
        <w:t xml:space="preserve"> (0,5%) en comparación con placebo (0,2%).Un </w:t>
      </w:r>
      <w:r w:rsidRPr="005C6C52">
        <w:lastRenderedPageBreak/>
        <w:t xml:space="preserve">análisis intermedio de un estudio de seguimiento de una cohorte de más de 190.000 pacientes, diseñado para evaluar si la </w:t>
      </w:r>
      <w:proofErr w:type="spellStart"/>
      <w:r w:rsidRPr="005C6C52">
        <w:t>pioglitazona</w:t>
      </w:r>
      <w:proofErr w:type="spellEnd"/>
      <w:r w:rsidRPr="005C6C52">
        <w:t xml:space="preserve"> se asocia a un aumento del riesgo de cáncer de vejiga, mostró una asociación que no era estadísticamente significativa, pero el riesgo de cáncer de vejiga aumentaba ligeramente con la dosis y la duración del tratamiento, y el aumento de riesgo fue significativo entre los tratados con </w:t>
      </w:r>
      <w:proofErr w:type="spellStart"/>
      <w:r w:rsidRPr="005C6C52">
        <w:t>pioglitazona</w:t>
      </w:r>
      <w:proofErr w:type="spellEnd"/>
      <w:r w:rsidRPr="005C6C52">
        <w:t xml:space="preserve"> durante más de 2 años. Otro análisis de los casos de cáncer de vejiga en pacientes tratados con antidiabéticos notificados a la FDA también sugiere una asociación entre </w:t>
      </w:r>
      <w:proofErr w:type="spellStart"/>
      <w:r w:rsidRPr="005C6C52">
        <w:t>pioglitazona</w:t>
      </w:r>
      <w:proofErr w:type="spellEnd"/>
      <w:r w:rsidRPr="005C6C52">
        <w:t xml:space="preserve"> y cáncer de vejiga - </w:t>
      </w:r>
      <w:hyperlink r:id="rId10" w:tgtFrame="_blank" w:history="1">
        <w:r w:rsidRPr="005C6C52">
          <w:t xml:space="preserve">Diabetes </w:t>
        </w:r>
        <w:proofErr w:type="spellStart"/>
        <w:r w:rsidRPr="005C6C52">
          <w:t>Care</w:t>
        </w:r>
        <w:proofErr w:type="spellEnd"/>
        <w:r w:rsidRPr="005C6C52">
          <w:t xml:space="preserve"> 2011; 34</w:t>
        </w:r>
      </w:hyperlink>
      <w:r w:rsidRPr="005C6C52">
        <w:t xml:space="preserve"> y </w:t>
      </w:r>
      <w:proofErr w:type="spellStart"/>
      <w:r w:rsidRPr="005C6C52">
        <w:t>Bulleti</w:t>
      </w:r>
      <w:proofErr w:type="spellEnd"/>
      <w:r w:rsidRPr="005C6C52">
        <w:t xml:space="preserve"> </w:t>
      </w:r>
      <w:proofErr w:type="spellStart"/>
      <w:r w:rsidRPr="005C6C52">
        <w:t>Groc</w:t>
      </w:r>
      <w:proofErr w:type="spellEnd"/>
      <w:r w:rsidRPr="005C6C52">
        <w:t xml:space="preserve"> Junio 2011. </w:t>
      </w:r>
    </w:p>
    <w:p w:rsidR="005C6C52" w:rsidRPr="005C6C52" w:rsidRDefault="005C6C52" w:rsidP="005C6C52">
      <w:pPr>
        <w:jc w:val="both"/>
      </w:pPr>
      <w:r w:rsidRPr="005C6C52">
        <w:t>El BMJ publica en mayo 2012 “</w:t>
      </w:r>
      <w:proofErr w:type="spellStart"/>
      <w:r w:rsidRPr="005C6C52">
        <w:t>The</w:t>
      </w:r>
      <w:proofErr w:type="spellEnd"/>
      <w:r w:rsidRPr="005C6C52">
        <w:t xml:space="preserve"> use oí </w:t>
      </w:r>
      <w:proofErr w:type="spellStart"/>
      <w:r w:rsidRPr="005C6C52">
        <w:t>pioglitazone</w:t>
      </w:r>
      <w:proofErr w:type="spellEnd"/>
      <w:r w:rsidRPr="005C6C52">
        <w:t xml:space="preserve"> and </w:t>
      </w:r>
      <w:proofErr w:type="spellStart"/>
      <w:r w:rsidRPr="005C6C52">
        <w:t>the</w:t>
      </w:r>
      <w:proofErr w:type="spellEnd"/>
      <w:r w:rsidRPr="005C6C52">
        <w:t xml:space="preserve"> </w:t>
      </w:r>
      <w:proofErr w:type="spellStart"/>
      <w:r w:rsidRPr="005C6C52">
        <w:t>risk</w:t>
      </w:r>
      <w:proofErr w:type="spellEnd"/>
      <w:r w:rsidRPr="005C6C52">
        <w:t xml:space="preserve"> of </w:t>
      </w:r>
      <w:proofErr w:type="spellStart"/>
      <w:r w:rsidRPr="005C6C52">
        <w:t>bladder</w:t>
      </w:r>
      <w:proofErr w:type="spellEnd"/>
      <w:r w:rsidRPr="005C6C52">
        <w:t xml:space="preserve"> cáncer in </w:t>
      </w:r>
      <w:proofErr w:type="spellStart"/>
      <w:r w:rsidRPr="005C6C52">
        <w:t>people</w:t>
      </w:r>
      <w:proofErr w:type="spellEnd"/>
      <w:r w:rsidRPr="005C6C52">
        <w:t xml:space="preserve"> </w:t>
      </w:r>
      <w:proofErr w:type="spellStart"/>
      <w:r w:rsidRPr="005C6C52">
        <w:t>with</w:t>
      </w:r>
      <w:proofErr w:type="spellEnd"/>
      <w:r w:rsidRPr="005C6C52">
        <w:t xml:space="preserve"> </w:t>
      </w:r>
      <w:proofErr w:type="spellStart"/>
      <w:r w:rsidRPr="005C6C52">
        <w:t>type</w:t>
      </w:r>
      <w:proofErr w:type="spellEnd"/>
      <w:r w:rsidRPr="005C6C52">
        <w:t xml:space="preserve"> 2 diabetes: </w:t>
      </w:r>
      <w:proofErr w:type="spellStart"/>
      <w:r w:rsidRPr="005C6C52">
        <w:t>nested</w:t>
      </w:r>
      <w:proofErr w:type="spellEnd"/>
      <w:r w:rsidRPr="005C6C52">
        <w:t xml:space="preserve"> case-control </w:t>
      </w:r>
      <w:proofErr w:type="spellStart"/>
      <w:r w:rsidRPr="005C6C52">
        <w:t>study</w:t>
      </w:r>
      <w:proofErr w:type="spellEnd"/>
      <w:r w:rsidRPr="005C6C52">
        <w:t xml:space="preserve">” donde una cohorte de 115.727 nuevos usuarios de hipoglucemiantes orales muestra que el uso de </w:t>
      </w:r>
      <w:proofErr w:type="spellStart"/>
      <w:r w:rsidRPr="005C6C52">
        <w:t>pioglitazona</w:t>
      </w:r>
      <w:proofErr w:type="spellEnd"/>
      <w:r w:rsidRPr="005C6C52">
        <w:t xml:space="preserve"> se asoció con una mayor tasa de cáncer de vejiga, un aumento de la frecuencia en función de la duración de su uso, y la tasa más alta observada en los pacientes expuestos por más de 24 meses y en aquellos con una dosis acumulada superior a 28 000 mg.</w:t>
      </w:r>
    </w:p>
    <w:p w:rsidR="00B61FB1" w:rsidRPr="00B61FB1" w:rsidRDefault="00B61FB1" w:rsidP="00B61FB1">
      <w:pPr>
        <w:tabs>
          <w:tab w:val="left" w:pos="1320"/>
        </w:tabs>
        <w:ind w:left="113"/>
        <w:rPr>
          <w:rFonts w:cs="Arial"/>
          <w:b/>
          <w:i/>
          <w:color w:val="00B050"/>
        </w:rPr>
      </w:pPr>
      <w:r w:rsidRPr="00B61FB1">
        <w:rPr>
          <w:rFonts w:cs="Arial"/>
          <w:b/>
          <w:i/>
          <w:color w:val="00B050"/>
        </w:rPr>
        <w:t>A10AB</w:t>
      </w:r>
      <w:r w:rsidRPr="00B61FB1">
        <w:rPr>
          <w:rFonts w:cs="Arial"/>
          <w:b/>
          <w:i/>
          <w:color w:val="00B050"/>
        </w:rPr>
        <w:tab/>
        <w:t>INSULINAS Y ANALOGOS, ACCION RAPIDA</w:t>
      </w:r>
    </w:p>
    <w:p w:rsidR="00B61FB1" w:rsidRPr="00B61FB1" w:rsidRDefault="00B61FB1" w:rsidP="00B61FB1">
      <w:pPr>
        <w:tabs>
          <w:tab w:val="left" w:pos="1320"/>
        </w:tabs>
        <w:ind w:left="113"/>
        <w:rPr>
          <w:rFonts w:cs="Arial"/>
          <w:b/>
          <w:i/>
          <w:color w:val="00B050"/>
        </w:rPr>
      </w:pPr>
      <w:r w:rsidRPr="00B61FB1">
        <w:rPr>
          <w:rFonts w:cs="Arial"/>
          <w:b/>
          <w:i/>
          <w:color w:val="00B050"/>
        </w:rPr>
        <w:t>A10AB04</w:t>
      </w:r>
      <w:r w:rsidRPr="00B61FB1">
        <w:rPr>
          <w:rFonts w:cs="Arial"/>
          <w:b/>
          <w:i/>
          <w:color w:val="00B050"/>
        </w:rPr>
        <w:tab/>
        <w:t xml:space="preserve">INSULINA LISPRO </w:t>
      </w:r>
    </w:p>
    <w:p w:rsidR="00B61FB1" w:rsidRPr="00B61FB1" w:rsidRDefault="00B61FB1" w:rsidP="00396EBC">
      <w:pPr>
        <w:pStyle w:val="Textosinformato"/>
        <w:numPr>
          <w:ilvl w:val="0"/>
          <w:numId w:val="67"/>
        </w:numPr>
        <w:jc w:val="both"/>
        <w:rPr>
          <w:rFonts w:asciiTheme="minorHAnsi" w:hAnsiTheme="minorHAnsi" w:cs="Times New Roman"/>
          <w:b w:val="0"/>
          <w:sz w:val="22"/>
          <w:szCs w:val="22"/>
        </w:rPr>
      </w:pPr>
      <w:r w:rsidRPr="00B61FB1">
        <w:rPr>
          <w:rFonts w:asciiTheme="minorHAnsi" w:hAnsiTheme="minorHAnsi" w:cs="Times New Roman"/>
          <w:b w:val="0"/>
          <w:sz w:val="22"/>
          <w:szCs w:val="22"/>
        </w:rPr>
        <w:t xml:space="preserve">Insulina recombinante de rápido comienzo de acción (15´) y menor duración de acción que la insulina humana corriente y que ha mostrado en ECC de larga duración una tasa menor cercana al 12%  de episodios de hipoglucemia (global) en DM tipo I y menos hiperglucemias postprandiales. Adicionalmente se verificaron menos hipoglucemias inducidas por el ejercicio. Sin embargo, no se hubo diferencias sobre los valores de hemoglobina </w:t>
      </w:r>
      <w:proofErr w:type="spellStart"/>
      <w:r w:rsidRPr="00B61FB1">
        <w:rPr>
          <w:rFonts w:asciiTheme="minorHAnsi" w:hAnsiTheme="minorHAnsi" w:cs="Times New Roman"/>
          <w:b w:val="0"/>
          <w:sz w:val="22"/>
          <w:szCs w:val="22"/>
        </w:rPr>
        <w:t>glicosilada</w:t>
      </w:r>
      <w:proofErr w:type="spellEnd"/>
      <w:r w:rsidRPr="00B61FB1">
        <w:rPr>
          <w:rFonts w:asciiTheme="minorHAnsi" w:hAnsiTheme="minorHAnsi" w:cs="Times New Roman"/>
          <w:b w:val="0"/>
          <w:sz w:val="22"/>
          <w:szCs w:val="22"/>
        </w:rPr>
        <w:t xml:space="preserve"> (HbA1c).</w:t>
      </w:r>
    </w:p>
    <w:p w:rsidR="00B61FB1" w:rsidRPr="00B61FB1" w:rsidRDefault="00B61FB1" w:rsidP="00396EBC">
      <w:pPr>
        <w:pStyle w:val="Textosinformato"/>
        <w:numPr>
          <w:ilvl w:val="0"/>
          <w:numId w:val="67"/>
        </w:numPr>
        <w:jc w:val="both"/>
        <w:rPr>
          <w:rFonts w:asciiTheme="minorHAnsi" w:hAnsiTheme="minorHAnsi" w:cs="Times New Roman"/>
          <w:b w:val="0"/>
          <w:sz w:val="22"/>
          <w:szCs w:val="22"/>
        </w:rPr>
      </w:pPr>
      <w:r w:rsidRPr="00B61FB1">
        <w:rPr>
          <w:rFonts w:asciiTheme="minorHAnsi" w:hAnsiTheme="minorHAnsi" w:cs="Times New Roman"/>
          <w:b w:val="0"/>
          <w:sz w:val="22"/>
          <w:szCs w:val="22"/>
        </w:rPr>
        <w:t xml:space="preserve">Un </w:t>
      </w:r>
      <w:proofErr w:type="spellStart"/>
      <w:r w:rsidRPr="00B61FB1">
        <w:rPr>
          <w:rFonts w:asciiTheme="minorHAnsi" w:hAnsiTheme="minorHAnsi" w:cs="Times New Roman"/>
          <w:b w:val="0"/>
          <w:sz w:val="22"/>
          <w:szCs w:val="22"/>
        </w:rPr>
        <w:t>metanálisis</w:t>
      </w:r>
      <w:proofErr w:type="spellEnd"/>
      <w:r w:rsidRPr="00B61FB1">
        <w:rPr>
          <w:rFonts w:asciiTheme="minorHAnsi" w:hAnsiTheme="minorHAnsi" w:cs="Times New Roman"/>
          <w:b w:val="0"/>
          <w:sz w:val="22"/>
          <w:szCs w:val="22"/>
        </w:rPr>
        <w:t xml:space="preserve"> de 8 ECC en DM tipo I (2576 pacientes) mostró modestos beneficios de la insulina </w:t>
      </w:r>
      <w:proofErr w:type="spellStart"/>
      <w:r w:rsidRPr="00B61FB1">
        <w:rPr>
          <w:rFonts w:asciiTheme="minorHAnsi" w:hAnsiTheme="minorHAnsi" w:cs="Times New Roman"/>
          <w:b w:val="0"/>
          <w:sz w:val="22"/>
          <w:szCs w:val="22"/>
        </w:rPr>
        <w:t>lispro</w:t>
      </w:r>
      <w:proofErr w:type="spellEnd"/>
      <w:r w:rsidRPr="00B61FB1">
        <w:rPr>
          <w:rFonts w:asciiTheme="minorHAnsi" w:hAnsiTheme="minorHAnsi" w:cs="Times New Roman"/>
          <w:b w:val="0"/>
          <w:sz w:val="22"/>
          <w:szCs w:val="22"/>
        </w:rPr>
        <w:t xml:space="preserve"> (3,1%) sobre la tasa de  hipoglucemias severas versus insulina corriente convencional (4.4%). No se observaron diferencias en DM tipo II.</w:t>
      </w:r>
    </w:p>
    <w:p w:rsidR="00B61FB1" w:rsidRPr="00B61FB1" w:rsidRDefault="00B61FB1" w:rsidP="00396EBC">
      <w:pPr>
        <w:numPr>
          <w:ilvl w:val="0"/>
          <w:numId w:val="67"/>
        </w:numPr>
        <w:spacing w:after="0" w:line="240" w:lineRule="auto"/>
        <w:jc w:val="both"/>
        <w:rPr>
          <w:rFonts w:cs="Arial"/>
          <w:lang w:val="es-AR"/>
        </w:rPr>
      </w:pPr>
      <w:r w:rsidRPr="00B61FB1">
        <w:rPr>
          <w:rFonts w:cs="Arial"/>
          <w:lang w:val="es-AR"/>
        </w:rPr>
        <w:t>Debe reservarse a casos seleccionados de DM tipo I con necesidad manifiesta de un inicio rápido y corta duración por la presencia dominante de las manifestaciones que mostraron adecuado control con esta opción.</w:t>
      </w:r>
    </w:p>
    <w:p w:rsidR="00B61FB1" w:rsidRPr="00B61FB1" w:rsidRDefault="00B61FB1" w:rsidP="00396EBC">
      <w:pPr>
        <w:numPr>
          <w:ilvl w:val="0"/>
          <w:numId w:val="67"/>
        </w:numPr>
        <w:spacing w:after="0" w:line="240" w:lineRule="auto"/>
        <w:jc w:val="both"/>
        <w:rPr>
          <w:rFonts w:cs="Arial"/>
          <w:lang w:val="es-AR"/>
        </w:rPr>
      </w:pPr>
      <w:r w:rsidRPr="00B61FB1">
        <w:rPr>
          <w:rFonts w:cs="Arial"/>
          <w:lang w:val="es-AR"/>
        </w:rPr>
        <w:t xml:space="preserve">Se carece de ECC doble ciego comparativos con insulina aspártica. </w:t>
      </w:r>
    </w:p>
    <w:p w:rsidR="00B61FB1" w:rsidRPr="00B61FB1" w:rsidRDefault="00B61FB1" w:rsidP="00B61FB1">
      <w:pPr>
        <w:pStyle w:val="Textosinformato"/>
        <w:jc w:val="both"/>
        <w:rPr>
          <w:rFonts w:asciiTheme="minorHAnsi" w:hAnsiTheme="minorHAnsi" w:cs="Times New Roman"/>
          <w:i/>
          <w:color w:val="00B050"/>
          <w:sz w:val="22"/>
          <w:szCs w:val="22"/>
        </w:rPr>
      </w:pPr>
    </w:p>
    <w:p w:rsidR="00B61FB1" w:rsidRDefault="00B61FB1" w:rsidP="00B61FB1">
      <w:pPr>
        <w:pStyle w:val="Textosinformato"/>
        <w:jc w:val="both"/>
        <w:rPr>
          <w:rFonts w:asciiTheme="minorHAnsi" w:hAnsiTheme="minorHAnsi" w:cs="Times New Roman"/>
          <w:i/>
          <w:color w:val="00B050"/>
          <w:sz w:val="22"/>
          <w:szCs w:val="22"/>
        </w:rPr>
      </w:pPr>
      <w:r w:rsidRPr="00B61FB1">
        <w:rPr>
          <w:rFonts w:asciiTheme="minorHAnsi" w:hAnsiTheme="minorHAnsi" w:cs="Times New Roman"/>
          <w:i/>
          <w:color w:val="00B050"/>
          <w:sz w:val="22"/>
          <w:szCs w:val="22"/>
        </w:rPr>
        <w:t xml:space="preserve">A10AB05  INSULINA ASPARTATO </w:t>
      </w:r>
    </w:p>
    <w:p w:rsidR="00B61FB1" w:rsidRPr="00B61FB1" w:rsidRDefault="00B61FB1" w:rsidP="00B61FB1">
      <w:pPr>
        <w:pStyle w:val="Textosinformato"/>
        <w:jc w:val="both"/>
        <w:rPr>
          <w:rFonts w:asciiTheme="minorHAnsi" w:hAnsiTheme="minorHAnsi" w:cs="Times New Roman"/>
          <w:i/>
          <w:color w:val="00B050"/>
          <w:sz w:val="22"/>
          <w:szCs w:val="22"/>
        </w:rPr>
      </w:pPr>
    </w:p>
    <w:p w:rsidR="00B61FB1" w:rsidRPr="00B61FB1" w:rsidRDefault="00B61FB1" w:rsidP="00396EBC">
      <w:pPr>
        <w:pStyle w:val="Textosinformato"/>
        <w:numPr>
          <w:ilvl w:val="0"/>
          <w:numId w:val="68"/>
        </w:numPr>
        <w:jc w:val="both"/>
        <w:rPr>
          <w:rFonts w:asciiTheme="minorHAnsi" w:hAnsiTheme="minorHAnsi" w:cs="Times New Roman"/>
          <w:b w:val="0"/>
          <w:sz w:val="22"/>
          <w:szCs w:val="22"/>
        </w:rPr>
      </w:pPr>
      <w:r w:rsidRPr="00B61FB1">
        <w:rPr>
          <w:rFonts w:asciiTheme="minorHAnsi" w:hAnsiTheme="minorHAnsi" w:cs="Times New Roman"/>
          <w:b w:val="0"/>
          <w:sz w:val="22"/>
          <w:szCs w:val="22"/>
        </w:rPr>
        <w:t xml:space="preserve">Insulina recombinante de rápido comienzo de acción (15´) y menor duración de acción que la insulina humana corriente que ha mostrado en ECC en niños y adultos con DM tipo I menor frecuencia y mejor control de las hiperglucemias postprandiales. </w:t>
      </w:r>
    </w:p>
    <w:p w:rsidR="00B61FB1" w:rsidRPr="00B61FB1" w:rsidRDefault="00B61FB1" w:rsidP="00396EBC">
      <w:pPr>
        <w:pStyle w:val="Textosinformato"/>
        <w:numPr>
          <w:ilvl w:val="0"/>
          <w:numId w:val="68"/>
        </w:numPr>
        <w:jc w:val="both"/>
        <w:rPr>
          <w:rFonts w:asciiTheme="minorHAnsi" w:hAnsiTheme="minorHAnsi" w:cs="Times New Roman"/>
          <w:b w:val="0"/>
          <w:sz w:val="22"/>
          <w:szCs w:val="22"/>
        </w:rPr>
      </w:pPr>
      <w:r w:rsidRPr="00B61FB1">
        <w:rPr>
          <w:rFonts w:asciiTheme="minorHAnsi" w:hAnsiTheme="minorHAnsi" w:cs="Times New Roman"/>
          <w:b w:val="0"/>
          <w:sz w:val="22"/>
          <w:szCs w:val="22"/>
        </w:rPr>
        <w:t>En 2 pequeños EC no mostró diferencias en DM tipo II.</w:t>
      </w:r>
    </w:p>
    <w:p w:rsidR="00B61FB1" w:rsidRPr="00B61FB1" w:rsidRDefault="00B61FB1" w:rsidP="00396EBC">
      <w:pPr>
        <w:numPr>
          <w:ilvl w:val="0"/>
          <w:numId w:val="68"/>
        </w:numPr>
        <w:spacing w:after="0" w:line="240" w:lineRule="auto"/>
        <w:jc w:val="both"/>
        <w:rPr>
          <w:rFonts w:cs="Arial"/>
          <w:lang w:val="es-AR"/>
        </w:rPr>
      </w:pPr>
      <w:r w:rsidRPr="00B61FB1">
        <w:rPr>
          <w:rFonts w:cs="Arial"/>
          <w:lang w:val="es-AR"/>
        </w:rPr>
        <w:t>Debe reservarse a casos seleccionados de DM tipo I con necesidad acreditada por la presencia dominante de las manifestaciones que mostraron adecuado control con esta opción.</w:t>
      </w:r>
    </w:p>
    <w:p w:rsidR="00B61FB1" w:rsidRPr="00B61FB1" w:rsidRDefault="00B61FB1" w:rsidP="00396EBC">
      <w:pPr>
        <w:numPr>
          <w:ilvl w:val="0"/>
          <w:numId w:val="68"/>
        </w:numPr>
        <w:spacing w:after="0" w:line="240" w:lineRule="auto"/>
        <w:jc w:val="both"/>
        <w:rPr>
          <w:rFonts w:cs="Arial"/>
          <w:lang w:val="es-AR"/>
        </w:rPr>
      </w:pPr>
      <w:r w:rsidRPr="00B61FB1">
        <w:rPr>
          <w:rFonts w:cs="Arial"/>
          <w:lang w:val="es-AR"/>
        </w:rPr>
        <w:t xml:space="preserve">Se carece de ECC doble ciego comparativos con insulina </w:t>
      </w:r>
      <w:proofErr w:type="spellStart"/>
      <w:r w:rsidRPr="00B61FB1">
        <w:rPr>
          <w:rFonts w:cs="Arial"/>
          <w:lang w:val="es-AR"/>
        </w:rPr>
        <w:t>lispro</w:t>
      </w:r>
      <w:proofErr w:type="spellEnd"/>
    </w:p>
    <w:p w:rsidR="00B61FB1" w:rsidRDefault="00B61FB1" w:rsidP="004251DA">
      <w:pPr>
        <w:jc w:val="both"/>
        <w:rPr>
          <w:b/>
          <w:i/>
          <w:color w:val="00B050"/>
        </w:rPr>
      </w:pPr>
    </w:p>
    <w:p w:rsidR="004251DA" w:rsidRDefault="004251DA" w:rsidP="004251DA">
      <w:pPr>
        <w:jc w:val="both"/>
        <w:rPr>
          <w:b/>
          <w:i/>
          <w:color w:val="00B050"/>
        </w:rPr>
      </w:pPr>
      <w:r w:rsidRPr="00B06950">
        <w:rPr>
          <w:b/>
          <w:i/>
          <w:color w:val="00B050"/>
        </w:rPr>
        <w:t>A</w:t>
      </w:r>
      <w:r>
        <w:rPr>
          <w:b/>
          <w:i/>
          <w:color w:val="00B050"/>
        </w:rPr>
        <w:t>10AE</w:t>
      </w:r>
      <w:r w:rsidRPr="00B06950">
        <w:rPr>
          <w:b/>
          <w:i/>
          <w:color w:val="00B050"/>
        </w:rPr>
        <w:t>0</w:t>
      </w:r>
      <w:r>
        <w:rPr>
          <w:b/>
          <w:i/>
          <w:color w:val="00B050"/>
        </w:rPr>
        <w:t>4 INSULINA GLARGINA</w:t>
      </w:r>
    </w:p>
    <w:p w:rsidR="004251DA" w:rsidRPr="00EE062E" w:rsidRDefault="004251DA" w:rsidP="004251DA">
      <w:pPr>
        <w:pStyle w:val="Prrafodelista"/>
        <w:numPr>
          <w:ilvl w:val="0"/>
          <w:numId w:val="7"/>
        </w:numPr>
        <w:jc w:val="both"/>
      </w:pPr>
      <w:r w:rsidRPr="00B06950">
        <w:t xml:space="preserve">  </w:t>
      </w:r>
      <w:r w:rsidRPr="00EE062E">
        <w:t xml:space="preserve">La insulina </w:t>
      </w:r>
      <w:proofErr w:type="spellStart"/>
      <w:r w:rsidRPr="00EE062E">
        <w:t>glargina</w:t>
      </w:r>
      <w:proofErr w:type="spellEnd"/>
      <w:r w:rsidRPr="00EE062E">
        <w:t xml:space="preserve"> ha mostrado igual eficacia clínica que la insulina humana de acción intermedia (NPH) en ECC al obtener resultados satisfactorios de control </w:t>
      </w:r>
      <w:r w:rsidRPr="00EE062E">
        <w:lastRenderedPageBreak/>
        <w:t>metabólico (reducción de HbA1c) en DM tipo I con una menor tasa de hiperglucemia en ayunas y menor incidencia de episodios de hipoglucemia nocturna y grave, aunque sin significación estadística.</w:t>
      </w:r>
    </w:p>
    <w:p w:rsidR="004251DA" w:rsidRPr="00EE062E" w:rsidRDefault="004251DA" w:rsidP="004251DA">
      <w:pPr>
        <w:pStyle w:val="Prrafodelista"/>
        <w:numPr>
          <w:ilvl w:val="0"/>
          <w:numId w:val="7"/>
        </w:numPr>
        <w:jc w:val="both"/>
      </w:pPr>
      <w:r w:rsidRPr="00EE062E">
        <w:t xml:space="preserve">Los ECC que reclutaron más de 3.000 pacientes con DM tipo II mostraron igual control metabólico y una tasa algo menor de hipoglucemias sintomáticas (global) </w:t>
      </w:r>
    </w:p>
    <w:p w:rsidR="004251DA" w:rsidRPr="00EE062E" w:rsidRDefault="004251DA" w:rsidP="004251DA">
      <w:pPr>
        <w:pStyle w:val="Prrafodelista"/>
        <w:numPr>
          <w:ilvl w:val="0"/>
          <w:numId w:val="7"/>
        </w:numPr>
        <w:jc w:val="both"/>
      </w:pPr>
      <w:r w:rsidRPr="00EE062E">
        <w:t xml:space="preserve">Su ventaja cinética está basada en su mayor duración de acción (20-24 </w:t>
      </w:r>
      <w:proofErr w:type="spellStart"/>
      <w:r w:rsidRPr="00EE062E">
        <w:t>hs</w:t>
      </w:r>
      <w:proofErr w:type="spellEnd"/>
      <w:r w:rsidRPr="00EE062E">
        <w:t>) lo que permite una administración diaria y sin picos ostensibles en los niveles de hormona.</w:t>
      </w:r>
    </w:p>
    <w:p w:rsidR="004251DA" w:rsidRPr="00EE062E" w:rsidRDefault="004251DA" w:rsidP="004251DA">
      <w:pPr>
        <w:pStyle w:val="Prrafodelista"/>
        <w:numPr>
          <w:ilvl w:val="0"/>
          <w:numId w:val="7"/>
        </w:numPr>
        <w:jc w:val="both"/>
      </w:pPr>
      <w:bookmarkStart w:id="1" w:name="_Hlk527397826"/>
      <w:r w:rsidRPr="00EE062E">
        <w:t xml:space="preserve">Su desventaja radica en que el costo de 1 tratamiento con insulina </w:t>
      </w:r>
      <w:proofErr w:type="spellStart"/>
      <w:r w:rsidRPr="00EE062E">
        <w:t>glargina</w:t>
      </w:r>
      <w:proofErr w:type="spellEnd"/>
      <w:r w:rsidRPr="00EE062E">
        <w:t xml:space="preserve">, equivale al costo del tratamiento de 2,5 pacientes diabéticos controlados adecuadamente con </w:t>
      </w:r>
      <w:r>
        <w:t xml:space="preserve">1 - </w:t>
      </w:r>
      <w:r w:rsidRPr="00EE062E">
        <w:t>2 administraciones diarias de insulina humana NPH, por lo que su relación de costo-efectividad es inapropiada.</w:t>
      </w:r>
    </w:p>
    <w:bookmarkEnd w:id="1"/>
    <w:p w:rsidR="004251DA" w:rsidRPr="00EE062E" w:rsidRDefault="004251DA" w:rsidP="004251DA">
      <w:pPr>
        <w:pStyle w:val="Prrafodelista"/>
        <w:numPr>
          <w:ilvl w:val="0"/>
          <w:numId w:val="7"/>
        </w:numPr>
        <w:jc w:val="both"/>
      </w:pPr>
      <w:r w:rsidRPr="00EE062E">
        <w:t xml:space="preserve">Debe reservarse a casos seleccionados de DM tipo I que presenten severas hipoglucemias (en particular nocturnas) documentadas. </w:t>
      </w:r>
    </w:p>
    <w:p w:rsidR="004251DA" w:rsidRPr="00122E05" w:rsidRDefault="004251DA" w:rsidP="004251DA">
      <w:pPr>
        <w:jc w:val="both"/>
        <w:rPr>
          <w:b/>
          <w:i/>
          <w:color w:val="00B050"/>
          <w:lang w:val="es-AR"/>
        </w:rPr>
      </w:pPr>
    </w:p>
    <w:p w:rsidR="004251DA" w:rsidRDefault="004251DA" w:rsidP="004251DA">
      <w:pPr>
        <w:jc w:val="both"/>
        <w:rPr>
          <w:b/>
          <w:i/>
          <w:color w:val="00B050"/>
          <w:lang w:val="pt-BR"/>
        </w:rPr>
      </w:pPr>
      <w:r w:rsidRPr="00895FDC">
        <w:rPr>
          <w:b/>
          <w:i/>
          <w:color w:val="00B050"/>
          <w:lang w:val="pt-BR"/>
        </w:rPr>
        <w:t>A10AE05 INSULINA DETEMIR</w:t>
      </w:r>
    </w:p>
    <w:p w:rsidR="004251DA" w:rsidRPr="00C47DF6" w:rsidRDefault="004251DA" w:rsidP="004251DA">
      <w:pPr>
        <w:pStyle w:val="Prrafodelista"/>
        <w:numPr>
          <w:ilvl w:val="0"/>
          <w:numId w:val="7"/>
        </w:numPr>
        <w:jc w:val="both"/>
      </w:pPr>
      <w:r>
        <w:t xml:space="preserve">En ensayos a largo plazo en pacientes con diabetes tipo 1 en tratamiento con insulina bolo-basal, el control de la glucosa plasmática en ayunas mejoró con </w:t>
      </w:r>
      <w:proofErr w:type="spellStart"/>
      <w:r>
        <w:t>detemir</w:t>
      </w:r>
      <w:proofErr w:type="spellEnd"/>
      <w:r>
        <w:t xml:space="preserve"> en comparación con insulina NPH. </w:t>
      </w:r>
    </w:p>
    <w:p w:rsidR="004251DA" w:rsidRPr="00C47DF6" w:rsidRDefault="004251DA" w:rsidP="004251DA">
      <w:pPr>
        <w:pStyle w:val="Prrafodelista"/>
        <w:numPr>
          <w:ilvl w:val="0"/>
          <w:numId w:val="7"/>
        </w:numPr>
        <w:jc w:val="both"/>
      </w:pPr>
      <w:r>
        <w:t xml:space="preserve">El control metabólico (HbA1c) con insulina </w:t>
      </w:r>
      <w:proofErr w:type="spellStart"/>
      <w:r>
        <w:t>detemir</w:t>
      </w:r>
      <w:proofErr w:type="spellEnd"/>
      <w:r>
        <w:t xml:space="preserve"> fue comparable al de la insulina NPH, con menor riesgo de hipoglucemia nocturna y sin aumento de peso asociado. </w:t>
      </w:r>
    </w:p>
    <w:p w:rsidR="004251DA" w:rsidRPr="00C47DF6" w:rsidRDefault="004251DA" w:rsidP="004251DA">
      <w:pPr>
        <w:pStyle w:val="Prrafodelista"/>
        <w:numPr>
          <w:ilvl w:val="0"/>
          <w:numId w:val="7"/>
        </w:numPr>
        <w:jc w:val="both"/>
      </w:pPr>
      <w:r>
        <w:t xml:space="preserve">En ensayos clínicos utilizando un régimen de dosificación de insulina bolo/basal, la frecuencia general de hipoglucemias fue similar con </w:t>
      </w:r>
      <w:proofErr w:type="spellStart"/>
      <w:r>
        <w:t>detemir</w:t>
      </w:r>
      <w:proofErr w:type="spellEnd"/>
      <w:r>
        <w:t xml:space="preserve"> e insulina NPH. </w:t>
      </w:r>
    </w:p>
    <w:p w:rsidR="004251DA" w:rsidRPr="00C47DF6" w:rsidRDefault="004251DA" w:rsidP="004251DA">
      <w:pPr>
        <w:pStyle w:val="Prrafodelista"/>
        <w:numPr>
          <w:ilvl w:val="0"/>
          <w:numId w:val="7"/>
        </w:numPr>
        <w:jc w:val="both"/>
      </w:pPr>
      <w:r>
        <w:t>Los análisis de hipoglucemia nocturna en pacientes diabéticos tipo 1 mostraron un riesgo significativamente inferior de hipoglucemia nocturna leve al comparar con insulina NPH, mientras que no se observaron diferencias en diabéticos tipo 2.</w:t>
      </w:r>
    </w:p>
    <w:p w:rsidR="004251DA" w:rsidRPr="00C47DF6" w:rsidRDefault="004251DA" w:rsidP="004251DA">
      <w:pPr>
        <w:pStyle w:val="Prrafodelista"/>
        <w:numPr>
          <w:ilvl w:val="0"/>
          <w:numId w:val="7"/>
        </w:numPr>
        <w:jc w:val="both"/>
      </w:pPr>
      <w:r>
        <w:t xml:space="preserve">Los ensayos en pacientes con diabetes tipo 2 tratados con insulina basal en combinación con antidiabéticos orales demostraron que el control glucémico (HbA1c) con insulina </w:t>
      </w:r>
      <w:proofErr w:type="spellStart"/>
      <w:r>
        <w:t>detemir</w:t>
      </w:r>
      <w:proofErr w:type="spellEnd"/>
      <w:r>
        <w:t xml:space="preserve"> es comparable al obtenido con insulina NPH y al obtenido con insulina </w:t>
      </w:r>
      <w:proofErr w:type="spellStart"/>
      <w:r>
        <w:t>glargina</w:t>
      </w:r>
      <w:proofErr w:type="spellEnd"/>
      <w:r>
        <w:t xml:space="preserve"> y está asociado con un menor aumento de peso. </w:t>
      </w:r>
    </w:p>
    <w:p w:rsidR="004251DA" w:rsidRPr="00C47DF6" w:rsidRDefault="004251DA" w:rsidP="004251DA">
      <w:pPr>
        <w:pStyle w:val="Prrafodelista"/>
        <w:numPr>
          <w:ilvl w:val="0"/>
          <w:numId w:val="7"/>
        </w:numPr>
        <w:jc w:val="both"/>
      </w:pPr>
      <w:r>
        <w:t xml:space="preserve">En el ensayo de insulina </w:t>
      </w:r>
      <w:proofErr w:type="spellStart"/>
      <w:r>
        <w:t>detemir</w:t>
      </w:r>
      <w:proofErr w:type="spellEnd"/>
      <w:r>
        <w:t xml:space="preserve"> frente a insulina </w:t>
      </w:r>
      <w:proofErr w:type="spellStart"/>
      <w:r>
        <w:t>glargina</w:t>
      </w:r>
      <w:proofErr w:type="spellEnd"/>
      <w:r>
        <w:t xml:space="preserve">, la primera se administró una o dos veces al día, mientras que la insulina </w:t>
      </w:r>
      <w:proofErr w:type="spellStart"/>
      <w:r>
        <w:t>glargina</w:t>
      </w:r>
      <w:proofErr w:type="spellEnd"/>
      <w:r>
        <w:t xml:space="preserve"> se administró una vez al día y se vio que el 55% de los pacientes tratados con insulina </w:t>
      </w:r>
      <w:proofErr w:type="spellStart"/>
      <w:r>
        <w:t>detemir</w:t>
      </w:r>
      <w:proofErr w:type="spellEnd"/>
      <w:r>
        <w:t xml:space="preserve"> completaron las 52 semanas de tratamiento con el régimen de administración dos veces al día. </w:t>
      </w:r>
    </w:p>
    <w:p w:rsidR="004251DA" w:rsidRPr="00C47DF6" w:rsidRDefault="004251DA" w:rsidP="004251DA">
      <w:pPr>
        <w:pStyle w:val="Prrafodelista"/>
        <w:numPr>
          <w:ilvl w:val="0"/>
          <w:numId w:val="7"/>
        </w:numPr>
        <w:jc w:val="both"/>
      </w:pPr>
      <w:r w:rsidRPr="00C47DF6">
        <w:t xml:space="preserve">Se han identificado anticuerpos con el uso de insulina </w:t>
      </w:r>
      <w:proofErr w:type="spellStart"/>
      <w:r w:rsidRPr="00C47DF6">
        <w:t>detemir</w:t>
      </w:r>
      <w:proofErr w:type="spellEnd"/>
      <w:r w:rsidRPr="00C47DF6">
        <w:t xml:space="preserve">. </w:t>
      </w:r>
    </w:p>
    <w:p w:rsidR="004251DA" w:rsidRPr="00EE062E" w:rsidRDefault="004251DA" w:rsidP="004251DA">
      <w:pPr>
        <w:pStyle w:val="Prrafodelista"/>
        <w:numPr>
          <w:ilvl w:val="0"/>
          <w:numId w:val="7"/>
        </w:numPr>
        <w:jc w:val="both"/>
      </w:pPr>
      <w:r w:rsidRPr="00EE062E">
        <w:t xml:space="preserve">Su desventaja radica en que el costo de 1 tratamiento con insulina </w:t>
      </w:r>
      <w:proofErr w:type="spellStart"/>
      <w:r>
        <w:t>detemir</w:t>
      </w:r>
      <w:proofErr w:type="spellEnd"/>
      <w:r w:rsidRPr="00EE062E">
        <w:t xml:space="preserve">, equivale al costo del tratamiento de 2,5 pacientes diabéticos controlados adecuadamente con </w:t>
      </w:r>
      <w:r>
        <w:t xml:space="preserve">1 - </w:t>
      </w:r>
      <w:r w:rsidRPr="00EE062E">
        <w:t>2 administraciones diarias de insulina humana NPH, por lo que su relación de costo-efectividad es inapropiada</w:t>
      </w:r>
      <w:r>
        <w:t xml:space="preserve">. </w:t>
      </w:r>
    </w:p>
    <w:p w:rsidR="004251DA" w:rsidRPr="00C72000" w:rsidRDefault="004251DA" w:rsidP="004251DA">
      <w:pPr>
        <w:jc w:val="both"/>
        <w:rPr>
          <w:b/>
          <w:i/>
          <w:color w:val="00B050"/>
        </w:rPr>
      </w:pPr>
    </w:p>
    <w:p w:rsidR="004251DA" w:rsidRPr="00AC22EC" w:rsidRDefault="004251DA" w:rsidP="004251DA">
      <w:pPr>
        <w:jc w:val="both"/>
        <w:rPr>
          <w:b/>
          <w:i/>
          <w:color w:val="00B050"/>
        </w:rPr>
      </w:pPr>
      <w:r w:rsidRPr="00DE4AD3">
        <w:rPr>
          <w:b/>
          <w:i/>
          <w:color w:val="00B050"/>
        </w:rPr>
        <w:t>A10AE06 INSULINA DEGLUDEC</w:t>
      </w:r>
    </w:p>
    <w:p w:rsidR="004251DA" w:rsidRPr="00C72000" w:rsidRDefault="004251DA" w:rsidP="004251DA">
      <w:pPr>
        <w:pStyle w:val="Prrafodelista"/>
        <w:numPr>
          <w:ilvl w:val="0"/>
          <w:numId w:val="7"/>
        </w:numPr>
        <w:jc w:val="both"/>
      </w:pPr>
      <w:r>
        <w:t xml:space="preserve">Se destaca un ensayo clínico aleatorizado, doble ciego y controlado por eventos, con una duración media de 2 años que comparaba la seguridad cardiovascular de insulina </w:t>
      </w:r>
      <w:proofErr w:type="spellStart"/>
      <w:r>
        <w:t>degludec</w:t>
      </w:r>
      <w:proofErr w:type="spellEnd"/>
      <w:r>
        <w:t xml:space="preserve"> versus insulina </w:t>
      </w:r>
      <w:proofErr w:type="spellStart"/>
      <w:r>
        <w:t>glargina</w:t>
      </w:r>
      <w:proofErr w:type="spellEnd"/>
      <w:r>
        <w:t xml:space="preserve"> (100 unidades/ml) en 7.637 pacientes con diabetes mellitus tipo 2 con alto riesgo de episodios cardiovasculares.</w:t>
      </w:r>
    </w:p>
    <w:p w:rsidR="004251DA" w:rsidRPr="00C72000" w:rsidRDefault="004251DA" w:rsidP="004251DA">
      <w:pPr>
        <w:pStyle w:val="Prrafodelista"/>
        <w:numPr>
          <w:ilvl w:val="0"/>
          <w:numId w:val="7"/>
        </w:numPr>
        <w:jc w:val="both"/>
      </w:pPr>
      <w:r>
        <w:lastRenderedPageBreak/>
        <w:t>El criterio de valoración principal fue el tiempo transcurrido desde la aleatorización hasta la aparición del primer acontecimiento adverso cardiovascular importante, de tres componentes definidos como muerte cardiovascular, infarto de miocardio no mortal o accidente cerebrovascular no mortal.</w:t>
      </w:r>
    </w:p>
    <w:p w:rsidR="004251DA" w:rsidRPr="009A0530" w:rsidRDefault="004251DA" w:rsidP="004251DA">
      <w:pPr>
        <w:pStyle w:val="Prrafodelista"/>
        <w:numPr>
          <w:ilvl w:val="0"/>
          <w:numId w:val="14"/>
        </w:numPr>
        <w:jc w:val="both"/>
        <w:rPr>
          <w:b/>
          <w:i/>
        </w:rPr>
      </w:pPr>
      <w:r w:rsidRPr="009A0530">
        <w:t xml:space="preserve">Concebido con ensayo de no inferioridad, mostro seguridad cardiovascular comparable. Otros resultados son: Al inicio, la HbA1c fue del 8,4% en ambos grupos de tratamiento y después de 2 años la HbA1c fue de 7,5%, tanto con insulina </w:t>
      </w:r>
      <w:proofErr w:type="spellStart"/>
      <w:r w:rsidRPr="009A0530">
        <w:t>degludec</w:t>
      </w:r>
      <w:proofErr w:type="spellEnd"/>
      <w:r w:rsidRPr="009A0530">
        <w:t xml:space="preserve">, como con insulina </w:t>
      </w:r>
      <w:proofErr w:type="spellStart"/>
      <w:r w:rsidRPr="009A0530">
        <w:t>glargina</w:t>
      </w:r>
      <w:proofErr w:type="spellEnd"/>
      <w:r w:rsidRPr="009A0530">
        <w:t>, una menor tasa de acontecimientos hipoglucémicos graves y una menor proporción de sujetos con hipoglucemia grave.</w:t>
      </w:r>
    </w:p>
    <w:p w:rsidR="004251DA" w:rsidRPr="00EE062E" w:rsidRDefault="004251DA" w:rsidP="004251DA">
      <w:pPr>
        <w:pStyle w:val="Prrafodelista"/>
        <w:numPr>
          <w:ilvl w:val="0"/>
          <w:numId w:val="14"/>
        </w:numPr>
        <w:jc w:val="both"/>
      </w:pPr>
      <w:r w:rsidRPr="00EE062E">
        <w:t xml:space="preserve">Su desventaja radica en que el costo de 1 tratamiento con insulina </w:t>
      </w:r>
      <w:proofErr w:type="spellStart"/>
      <w:r>
        <w:t>degludec</w:t>
      </w:r>
      <w:proofErr w:type="spellEnd"/>
      <w:r w:rsidRPr="00EE062E">
        <w:t>, equivale al costo del tratamiento de 2,</w:t>
      </w:r>
      <w:r>
        <w:t>7</w:t>
      </w:r>
      <w:r w:rsidRPr="00EE062E">
        <w:t xml:space="preserve">5 pacientes diabéticos controlados adecuadamente con </w:t>
      </w:r>
      <w:r>
        <w:t xml:space="preserve">               1-</w:t>
      </w:r>
      <w:r w:rsidRPr="00EE062E">
        <w:t>2 administraciones diarias de insulina humana NPH, por lo que su relación de costo-efectividad es inapropiada.</w:t>
      </w:r>
    </w:p>
    <w:p w:rsidR="005C6C52" w:rsidRPr="005C6C52" w:rsidRDefault="005C6C52" w:rsidP="005C6C52">
      <w:pPr>
        <w:jc w:val="both"/>
      </w:pPr>
    </w:p>
    <w:p w:rsidR="005C6C52" w:rsidRPr="00895FDC" w:rsidRDefault="005C6C52" w:rsidP="005C6C52">
      <w:pPr>
        <w:tabs>
          <w:tab w:val="left" w:pos="1320"/>
        </w:tabs>
        <w:ind w:left="113"/>
        <w:rPr>
          <w:b/>
          <w:i/>
          <w:color w:val="00B050"/>
        </w:rPr>
      </w:pPr>
      <w:r w:rsidRPr="00895FDC">
        <w:rPr>
          <w:b/>
          <w:i/>
          <w:color w:val="00B050"/>
        </w:rPr>
        <w:t>A10BA</w:t>
      </w:r>
      <w:r w:rsidRPr="00895FDC">
        <w:rPr>
          <w:b/>
          <w:i/>
          <w:color w:val="00B050"/>
        </w:rPr>
        <w:tab/>
        <w:t>BIGUANIDAS</w:t>
      </w:r>
    </w:p>
    <w:p w:rsidR="00895FDC" w:rsidRDefault="00895FDC" w:rsidP="00895FDC">
      <w:pPr>
        <w:jc w:val="both"/>
        <w:rPr>
          <w:b/>
          <w:i/>
          <w:color w:val="00B050"/>
        </w:rPr>
      </w:pPr>
      <w:r w:rsidRPr="00895FDC">
        <w:rPr>
          <w:b/>
          <w:i/>
          <w:color w:val="00B050"/>
        </w:rPr>
        <w:t>A10BA02 METFORMINA</w:t>
      </w:r>
      <w:r>
        <w:rPr>
          <w:b/>
          <w:i/>
          <w:color w:val="00B050"/>
        </w:rPr>
        <w:t xml:space="preserve"> </w:t>
      </w:r>
    </w:p>
    <w:p w:rsidR="00895FDC" w:rsidRDefault="00895FDC" w:rsidP="00895FDC">
      <w:pPr>
        <w:pStyle w:val="Prrafodelista"/>
        <w:numPr>
          <w:ilvl w:val="0"/>
          <w:numId w:val="15"/>
        </w:numPr>
        <w:jc w:val="both"/>
      </w:pPr>
      <w:r w:rsidRPr="000A4602">
        <w:t xml:space="preserve">La </w:t>
      </w:r>
      <w:proofErr w:type="spellStart"/>
      <w:r w:rsidRPr="000A4602">
        <w:t>metformina</w:t>
      </w:r>
      <w:proofErr w:type="spellEnd"/>
      <w:r w:rsidRPr="000A4602">
        <w:t>, en monoterapia o en combinación con otros medicamentos, está considerada la primera elección en el tratamiento de la diabetes mellitus de tipo 2</w:t>
      </w:r>
      <w:r>
        <w:t>.</w:t>
      </w:r>
    </w:p>
    <w:p w:rsidR="00895FDC" w:rsidRDefault="00895FDC" w:rsidP="00895FDC">
      <w:pPr>
        <w:pStyle w:val="Prrafodelista"/>
        <w:numPr>
          <w:ilvl w:val="0"/>
          <w:numId w:val="15"/>
        </w:numPr>
        <w:jc w:val="both"/>
      </w:pPr>
      <w:r w:rsidRPr="001C5C6E">
        <w:t xml:space="preserve">La </w:t>
      </w:r>
      <w:proofErr w:type="spellStart"/>
      <w:r w:rsidRPr="001C5C6E">
        <w:t>metformina</w:t>
      </w:r>
      <w:proofErr w:type="spellEnd"/>
      <w:r w:rsidRPr="001C5C6E">
        <w:t xml:space="preserve"> ha probado disminuir las complicaciones </w:t>
      </w:r>
      <w:proofErr w:type="spellStart"/>
      <w:r w:rsidRPr="001C5C6E">
        <w:t>macrovasculares</w:t>
      </w:r>
      <w:proofErr w:type="spellEnd"/>
      <w:r w:rsidRPr="001C5C6E">
        <w:t xml:space="preserve">, especialmente en pacientes obesos mientras las </w:t>
      </w:r>
      <w:proofErr w:type="spellStart"/>
      <w:r w:rsidRPr="001C5C6E">
        <w:t>microvasculares</w:t>
      </w:r>
      <w:proofErr w:type="spellEnd"/>
      <w:r w:rsidRPr="001C5C6E">
        <w:t xml:space="preserve"> mostraron tendencia a la reducción, pero sin significación estadística; es el fármaco inicial de elección en todos los pacientes con diabetes tipo 2 (salvo intolerancia o contraindicación). </w:t>
      </w:r>
      <w:r>
        <w:t xml:space="preserve">                          </w:t>
      </w:r>
      <w:r w:rsidRPr="001C5C6E">
        <w:t xml:space="preserve">No produce hipoglucemia, ni aumento de peso, y reduce las complicaciones </w:t>
      </w:r>
      <w:proofErr w:type="spellStart"/>
      <w:r w:rsidRPr="001C5C6E">
        <w:t>macrovasculares</w:t>
      </w:r>
      <w:proofErr w:type="spellEnd"/>
      <w:r w:rsidRPr="001C5C6E">
        <w:t xml:space="preserve">, siendo el único antidiabético que ha demostrado reducción de la mortalidad (UKPDS 34, 1998; </w:t>
      </w:r>
      <w:proofErr w:type="spellStart"/>
      <w:r w:rsidRPr="001C5C6E">
        <w:t>Holman</w:t>
      </w:r>
      <w:proofErr w:type="spellEnd"/>
      <w:r w:rsidRPr="001C5C6E">
        <w:t xml:space="preserve"> RR, 2008; NICE, 2009; MSC, 2008; </w:t>
      </w:r>
      <w:proofErr w:type="spellStart"/>
      <w:r w:rsidRPr="001C5C6E">
        <w:t>Nathan</w:t>
      </w:r>
      <w:proofErr w:type="spellEnd"/>
      <w:r w:rsidRPr="001C5C6E">
        <w:t xml:space="preserve"> DM, 2009)</w:t>
      </w:r>
    </w:p>
    <w:p w:rsidR="00895FDC" w:rsidRPr="001C5C6E" w:rsidRDefault="00895FDC" w:rsidP="00895FDC">
      <w:pPr>
        <w:pStyle w:val="Prrafodelista"/>
        <w:numPr>
          <w:ilvl w:val="0"/>
          <w:numId w:val="14"/>
        </w:numPr>
        <w:jc w:val="both"/>
      </w:pPr>
      <w:r>
        <w:t xml:space="preserve">En adultos, metformina puede utilizarse en monoterapia o en asociación con otros antidiabéticos orales, o con insulina. En niños mayores de 10 años de edad y adolescentes, metformina puede utilizarse en monoterapia o con insulina. </w:t>
      </w:r>
    </w:p>
    <w:p w:rsidR="00895FDC" w:rsidRDefault="00895FDC" w:rsidP="00895FDC">
      <w:pPr>
        <w:pStyle w:val="Prrafodelista"/>
        <w:numPr>
          <w:ilvl w:val="0"/>
          <w:numId w:val="14"/>
        </w:numPr>
        <w:jc w:val="both"/>
      </w:pPr>
      <w:r w:rsidRPr="001C5C6E">
        <w:t xml:space="preserve">Presenta efectos adversos leves a nivel digestivo y puede provocar acidosis láctica en pacientes con alguno de los siguientes factores de riesgo para presentarla: insuficiencia renal, insuficiencia cardiaca, EPOC, uso de contrastes iodados y alcoholismo, entre otros. </w:t>
      </w:r>
    </w:p>
    <w:p w:rsidR="00895FDC" w:rsidRPr="001C5C6E" w:rsidRDefault="00895FDC" w:rsidP="00895FDC">
      <w:pPr>
        <w:pStyle w:val="Prrafodelista"/>
        <w:jc w:val="both"/>
      </w:pPr>
      <w:r w:rsidRPr="001C5C6E">
        <w:rPr>
          <w:u w:val="single"/>
        </w:rPr>
        <w:t>Dosis:</w:t>
      </w:r>
      <w:r w:rsidRPr="001C5C6E">
        <w:t xml:space="preserve"> 500 – 850 mg 2 veces al día, para formas de liberación prolongada 1000 mg una vez al día; dosis máxima: 2.550 mg /día. </w:t>
      </w:r>
    </w:p>
    <w:p w:rsidR="005C6C52" w:rsidRPr="00503DC9" w:rsidRDefault="005C6C52" w:rsidP="005C6C52">
      <w:pPr>
        <w:tabs>
          <w:tab w:val="left" w:pos="1320"/>
        </w:tabs>
        <w:ind w:left="113"/>
        <w:rPr>
          <w:b/>
          <w:i/>
          <w:color w:val="00B050"/>
        </w:rPr>
      </w:pPr>
    </w:p>
    <w:p w:rsidR="005C6C52" w:rsidRPr="00503DC9" w:rsidRDefault="005C6C52" w:rsidP="005C6C52">
      <w:pPr>
        <w:tabs>
          <w:tab w:val="left" w:pos="1320"/>
        </w:tabs>
        <w:ind w:left="113"/>
        <w:rPr>
          <w:b/>
          <w:i/>
          <w:color w:val="00B050"/>
        </w:rPr>
      </w:pPr>
      <w:r w:rsidRPr="00503DC9">
        <w:rPr>
          <w:b/>
          <w:i/>
          <w:color w:val="00B050"/>
        </w:rPr>
        <w:t>A10BB</w:t>
      </w:r>
      <w:r w:rsidRPr="00503DC9">
        <w:rPr>
          <w:b/>
          <w:i/>
          <w:color w:val="00B050"/>
        </w:rPr>
        <w:tab/>
        <w:t>SULFONAMIDAS, UREA DERIVADOS</w:t>
      </w:r>
    </w:p>
    <w:p w:rsidR="005C6C52" w:rsidRPr="00895FDC" w:rsidRDefault="005C6C52" w:rsidP="005C6C52">
      <w:pPr>
        <w:tabs>
          <w:tab w:val="left" w:pos="1320"/>
        </w:tabs>
        <w:jc w:val="both"/>
        <w:rPr>
          <w:rFonts w:cs="Arial"/>
        </w:rPr>
      </w:pPr>
      <w:r w:rsidRPr="00895FDC">
        <w:t xml:space="preserve">El presente grupo farmacológico denominado </w:t>
      </w:r>
      <w:proofErr w:type="spellStart"/>
      <w:r w:rsidRPr="00895FDC">
        <w:t>sulfoniureas</w:t>
      </w:r>
      <w:proofErr w:type="spellEnd"/>
      <w:r w:rsidRPr="00895FDC">
        <w:t xml:space="preserve">, está compuesto por drogas derivadas de las sulfonamidas por lo que los fenómenos de hipersensibilidad (alergia) son una limitante a su seguridad que debe ser valorada al inicio del tratamiento de modo sistemático. Siguen siendo el 2° fármaco obligado ante falta de control metabólico con </w:t>
      </w:r>
      <w:proofErr w:type="spellStart"/>
      <w:r w:rsidRPr="00895FDC">
        <w:t>metformina</w:t>
      </w:r>
      <w:proofErr w:type="spellEnd"/>
      <w:r w:rsidRPr="00895FDC">
        <w:t xml:space="preserve">. </w:t>
      </w:r>
    </w:p>
    <w:p w:rsidR="005C6C52" w:rsidRPr="00503DC9" w:rsidRDefault="005C6C52" w:rsidP="00503DC9">
      <w:pPr>
        <w:tabs>
          <w:tab w:val="left" w:pos="1320"/>
        </w:tabs>
        <w:ind w:left="113"/>
        <w:rPr>
          <w:b/>
          <w:i/>
          <w:color w:val="00B050"/>
        </w:rPr>
      </w:pPr>
    </w:p>
    <w:p w:rsidR="005C6C52" w:rsidRPr="00503DC9" w:rsidRDefault="005C6C52" w:rsidP="005C6C52">
      <w:pPr>
        <w:tabs>
          <w:tab w:val="left" w:pos="1320"/>
        </w:tabs>
        <w:ind w:left="113"/>
        <w:rPr>
          <w:b/>
          <w:i/>
          <w:color w:val="00B050"/>
        </w:rPr>
      </w:pPr>
      <w:r w:rsidRPr="00503DC9">
        <w:rPr>
          <w:b/>
          <w:i/>
          <w:color w:val="00B050"/>
        </w:rPr>
        <w:lastRenderedPageBreak/>
        <w:t>A10BB01  GLIBENCLAMIDA</w:t>
      </w:r>
    </w:p>
    <w:p w:rsidR="005C6C52" w:rsidRPr="00895FDC" w:rsidRDefault="005C6C52" w:rsidP="00895FDC">
      <w:pPr>
        <w:pStyle w:val="Prrafodelista"/>
        <w:numPr>
          <w:ilvl w:val="0"/>
          <w:numId w:val="14"/>
        </w:numPr>
        <w:jc w:val="both"/>
      </w:pPr>
      <w:r w:rsidRPr="00895FDC">
        <w:t>DM tipo II, en monoterapia en particular en pacientes sin sobrepeso con índice de masa corporal (IMC) &lt;25.</w:t>
      </w:r>
    </w:p>
    <w:p w:rsidR="005C6C52" w:rsidRPr="00895FDC" w:rsidRDefault="005C6C52" w:rsidP="00895FDC">
      <w:pPr>
        <w:pStyle w:val="Prrafodelista"/>
        <w:numPr>
          <w:ilvl w:val="0"/>
          <w:numId w:val="14"/>
        </w:numPr>
        <w:jc w:val="both"/>
      </w:pPr>
      <w:r w:rsidRPr="00895FDC">
        <w:t xml:space="preserve">DM tipo II en tratamiento combinado con </w:t>
      </w:r>
      <w:proofErr w:type="spellStart"/>
      <w:r w:rsidRPr="00895FDC">
        <w:t>metformina</w:t>
      </w:r>
      <w:proofErr w:type="spellEnd"/>
      <w:r w:rsidRPr="00895FDC">
        <w:t>.</w:t>
      </w:r>
    </w:p>
    <w:p w:rsidR="005C6C52" w:rsidRPr="00895FDC" w:rsidRDefault="005C6C52" w:rsidP="00895FDC">
      <w:pPr>
        <w:pStyle w:val="Prrafodelista"/>
        <w:numPr>
          <w:ilvl w:val="0"/>
          <w:numId w:val="14"/>
        </w:numPr>
        <w:jc w:val="both"/>
      </w:pPr>
      <w:r w:rsidRPr="00895FDC">
        <w:t xml:space="preserve">En intolerancia o fallo a </w:t>
      </w:r>
      <w:proofErr w:type="spellStart"/>
      <w:r w:rsidRPr="00895FDC">
        <w:t>metformina</w:t>
      </w:r>
      <w:proofErr w:type="spellEnd"/>
      <w:r w:rsidRPr="00895FDC">
        <w:t xml:space="preserve"> es el fármaco de elección.</w:t>
      </w:r>
    </w:p>
    <w:p w:rsidR="005C6C52" w:rsidRPr="00895FDC" w:rsidRDefault="005C6C52" w:rsidP="00895FDC">
      <w:pPr>
        <w:pStyle w:val="Prrafodelista"/>
        <w:numPr>
          <w:ilvl w:val="0"/>
          <w:numId w:val="14"/>
        </w:numPr>
        <w:jc w:val="both"/>
      </w:pPr>
      <w:r w:rsidRPr="00895FDC">
        <w:t>Entre las reacciones adversas merecen atención la hipoglucemia, el aumento de peso, y la alergia.</w:t>
      </w:r>
    </w:p>
    <w:p w:rsidR="005C6C52" w:rsidRPr="00895FDC" w:rsidRDefault="005C6C52" w:rsidP="00895FDC">
      <w:pPr>
        <w:ind w:left="360"/>
        <w:jc w:val="both"/>
      </w:pPr>
      <w:r w:rsidRPr="00895FDC">
        <w:t>Dosis: inicial 2,5 - 5mg; 15-20 mg/día.</w:t>
      </w:r>
    </w:p>
    <w:p w:rsidR="005C6C52" w:rsidRPr="004251DA" w:rsidRDefault="005C6C52" w:rsidP="005C6C52">
      <w:pPr>
        <w:tabs>
          <w:tab w:val="left" w:pos="1320"/>
        </w:tabs>
        <w:rPr>
          <w:rFonts w:ascii="Verdana" w:hAnsi="Verdana"/>
        </w:rPr>
      </w:pPr>
    </w:p>
    <w:p w:rsidR="005C6C52" w:rsidRPr="00895FDC" w:rsidRDefault="005C6C52" w:rsidP="005C6C52">
      <w:pPr>
        <w:tabs>
          <w:tab w:val="left" w:pos="1320"/>
        </w:tabs>
        <w:ind w:left="113"/>
        <w:rPr>
          <w:b/>
          <w:i/>
          <w:color w:val="00B050"/>
        </w:rPr>
      </w:pPr>
      <w:r w:rsidRPr="00895FDC">
        <w:rPr>
          <w:b/>
          <w:i/>
          <w:color w:val="00B050"/>
        </w:rPr>
        <w:t>A10BB07  GLIPIZIDA</w:t>
      </w:r>
    </w:p>
    <w:p w:rsidR="005C6C52" w:rsidRPr="00895FDC" w:rsidRDefault="005C6C52" w:rsidP="00895FDC">
      <w:pPr>
        <w:pStyle w:val="Prrafodelista"/>
        <w:numPr>
          <w:ilvl w:val="0"/>
          <w:numId w:val="14"/>
        </w:numPr>
        <w:jc w:val="both"/>
      </w:pPr>
      <w:r w:rsidRPr="00895FDC">
        <w:t xml:space="preserve">DM tipo II, en monoterapia. </w:t>
      </w:r>
    </w:p>
    <w:p w:rsidR="005C6C52" w:rsidRPr="00895FDC" w:rsidRDefault="005C6C52" w:rsidP="00895FDC">
      <w:pPr>
        <w:pStyle w:val="Prrafodelista"/>
        <w:numPr>
          <w:ilvl w:val="0"/>
          <w:numId w:val="14"/>
        </w:numPr>
        <w:jc w:val="both"/>
      </w:pPr>
      <w:r w:rsidRPr="00895FDC">
        <w:t xml:space="preserve">DM tipo II en tratamiento combinado con </w:t>
      </w:r>
      <w:proofErr w:type="spellStart"/>
      <w:r w:rsidRPr="00895FDC">
        <w:t>metformina</w:t>
      </w:r>
      <w:proofErr w:type="spellEnd"/>
    </w:p>
    <w:p w:rsidR="005C6C52" w:rsidRPr="00895FDC" w:rsidRDefault="005C6C52" w:rsidP="00895FDC">
      <w:pPr>
        <w:pStyle w:val="Prrafodelista"/>
        <w:numPr>
          <w:ilvl w:val="0"/>
          <w:numId w:val="14"/>
        </w:numPr>
        <w:jc w:val="both"/>
      </w:pPr>
      <w:r w:rsidRPr="00895FDC">
        <w:t>Entre las reacciones adversas atención a la hipoglucemia,  alergia, cefalea y mareos.</w:t>
      </w:r>
    </w:p>
    <w:p w:rsidR="005C6C52" w:rsidRPr="00895FDC" w:rsidRDefault="005C6C52" w:rsidP="005C6C52">
      <w:pPr>
        <w:tabs>
          <w:tab w:val="num" w:pos="720"/>
          <w:tab w:val="left" w:pos="1320"/>
        </w:tabs>
        <w:ind w:left="720" w:hanging="360"/>
      </w:pPr>
      <w:r w:rsidRPr="00895FDC">
        <w:t>Dosis: inicial 5mg; mantenimiento 15mg/día; máxima en liberación inmediata: 40mg/día y 20mg/día en formas de liberación prolongada</w:t>
      </w:r>
    </w:p>
    <w:p w:rsidR="005C6C52" w:rsidRPr="00895FDC" w:rsidRDefault="005C6C52" w:rsidP="00895FDC">
      <w:pPr>
        <w:tabs>
          <w:tab w:val="left" w:pos="1320"/>
        </w:tabs>
        <w:ind w:left="113"/>
        <w:rPr>
          <w:b/>
          <w:i/>
          <w:color w:val="00B050"/>
        </w:rPr>
      </w:pPr>
    </w:p>
    <w:p w:rsidR="005C6C52" w:rsidRPr="00895FDC" w:rsidRDefault="005C6C52" w:rsidP="00D4271E">
      <w:pPr>
        <w:tabs>
          <w:tab w:val="left" w:pos="1320"/>
        </w:tabs>
        <w:ind w:left="113"/>
        <w:rPr>
          <w:b/>
          <w:i/>
          <w:color w:val="00B050"/>
        </w:rPr>
      </w:pPr>
      <w:r w:rsidRPr="00895FDC">
        <w:rPr>
          <w:b/>
          <w:i/>
          <w:color w:val="00B050"/>
        </w:rPr>
        <w:t>A10BB12</w:t>
      </w:r>
      <w:r w:rsidRPr="00895FDC">
        <w:rPr>
          <w:b/>
          <w:i/>
          <w:color w:val="00B050"/>
        </w:rPr>
        <w:tab/>
        <w:t xml:space="preserve">GLIMEPIRIDA </w:t>
      </w:r>
    </w:p>
    <w:p w:rsidR="005C6C52" w:rsidRPr="00895FDC" w:rsidRDefault="005C6C52" w:rsidP="00396EBC">
      <w:pPr>
        <w:numPr>
          <w:ilvl w:val="0"/>
          <w:numId w:val="19"/>
        </w:numPr>
        <w:spacing w:after="0" w:line="240" w:lineRule="auto"/>
        <w:jc w:val="both"/>
      </w:pPr>
      <w:r w:rsidRPr="00895FDC">
        <w:t xml:space="preserve">Tratamiento de alternativa de DM tipo II no controlado con dieta, ejercicio y con fallo a hipoglucemiantes orales de primera elección. </w:t>
      </w:r>
    </w:p>
    <w:p w:rsidR="005C6C52" w:rsidRPr="00895FDC" w:rsidRDefault="005C6C52" w:rsidP="00396EBC">
      <w:pPr>
        <w:numPr>
          <w:ilvl w:val="0"/>
          <w:numId w:val="19"/>
        </w:numPr>
        <w:spacing w:after="0" w:line="240" w:lineRule="auto"/>
        <w:jc w:val="both"/>
      </w:pPr>
      <w:r w:rsidRPr="00895FDC">
        <w:t xml:space="preserve">Los estudios muestran beneficios comparables o iguales sobre la glucemia, frente a </w:t>
      </w:r>
      <w:proofErr w:type="spellStart"/>
      <w:r w:rsidRPr="00895FDC">
        <w:t>glibenclamida</w:t>
      </w:r>
      <w:proofErr w:type="spellEnd"/>
      <w:r w:rsidRPr="00895FDC">
        <w:t xml:space="preserve">, requiere de una administración diaria mientras se deben administrar  1 o 2 de </w:t>
      </w:r>
      <w:proofErr w:type="spellStart"/>
      <w:r w:rsidRPr="00895FDC">
        <w:t>glibenclamida</w:t>
      </w:r>
      <w:proofErr w:type="spellEnd"/>
      <w:r w:rsidRPr="00895FDC">
        <w:t>.</w:t>
      </w:r>
    </w:p>
    <w:p w:rsidR="005C6C52" w:rsidRPr="00277D52" w:rsidRDefault="005C6C52" w:rsidP="00396EBC">
      <w:pPr>
        <w:numPr>
          <w:ilvl w:val="0"/>
          <w:numId w:val="19"/>
        </w:numPr>
        <w:spacing w:after="0" w:line="240" w:lineRule="auto"/>
        <w:jc w:val="both"/>
        <w:rPr>
          <w:rFonts w:ascii="Verdana" w:hAnsi="Verdana"/>
        </w:rPr>
      </w:pPr>
      <w:r w:rsidRPr="00277D52">
        <w:rPr>
          <w:rFonts w:ascii="Verdana" w:hAnsi="Verdana"/>
        </w:rPr>
        <w:t>Podría ser útil en ancianos o cuando existe insuficiencia renal leve-moderada, por el menor riesgo de hipoglucemias graves</w:t>
      </w:r>
      <w:r>
        <w:rPr>
          <w:rFonts w:ascii="Verdana" w:hAnsi="Verdana"/>
        </w:rPr>
        <w:t>.</w:t>
      </w:r>
    </w:p>
    <w:p w:rsidR="005C6C52" w:rsidRPr="00277D52" w:rsidRDefault="005C6C52" w:rsidP="00396EBC">
      <w:pPr>
        <w:numPr>
          <w:ilvl w:val="0"/>
          <w:numId w:val="19"/>
        </w:numPr>
        <w:spacing w:after="0" w:line="240" w:lineRule="auto"/>
        <w:jc w:val="both"/>
        <w:rPr>
          <w:rFonts w:ascii="Verdana" w:hAnsi="Verdana"/>
        </w:rPr>
      </w:pPr>
      <w:r w:rsidRPr="00277D52">
        <w:rPr>
          <w:rFonts w:ascii="Verdana" w:hAnsi="Verdana"/>
        </w:rPr>
        <w:t xml:space="preserve">Es un medicamento de </w:t>
      </w:r>
      <w:r>
        <w:rPr>
          <w:rFonts w:ascii="Verdana" w:hAnsi="Verdana"/>
        </w:rPr>
        <w:t>mayor</w:t>
      </w:r>
      <w:r w:rsidRPr="00277D52">
        <w:rPr>
          <w:rFonts w:ascii="Verdana" w:hAnsi="Verdana"/>
        </w:rPr>
        <w:t xml:space="preserve"> costo y sin ECC de largo plazo que prueben modificación de las complicaciones de la DM.</w:t>
      </w:r>
    </w:p>
    <w:p w:rsidR="00895FDC" w:rsidRDefault="00895FDC" w:rsidP="00895FDC">
      <w:pPr>
        <w:jc w:val="both"/>
        <w:rPr>
          <w:b/>
          <w:i/>
          <w:color w:val="00B050"/>
        </w:rPr>
      </w:pPr>
    </w:p>
    <w:p w:rsidR="00632959" w:rsidRPr="00B1108B" w:rsidRDefault="00632959" w:rsidP="00632959">
      <w:pPr>
        <w:tabs>
          <w:tab w:val="left" w:pos="1161"/>
        </w:tabs>
        <w:ind w:left="50"/>
        <w:rPr>
          <w:rFonts w:ascii="Verdana" w:hAnsi="Verdana" w:cs="Arial"/>
        </w:rPr>
      </w:pPr>
    </w:p>
    <w:p w:rsidR="00632959" w:rsidRPr="00632959" w:rsidRDefault="00632959" w:rsidP="00632959">
      <w:pPr>
        <w:tabs>
          <w:tab w:val="left" w:pos="1161"/>
        </w:tabs>
        <w:ind w:left="50"/>
        <w:rPr>
          <w:rFonts w:cs="Arial"/>
          <w:b/>
          <w:i/>
          <w:color w:val="00B050"/>
        </w:rPr>
      </w:pPr>
      <w:r w:rsidRPr="00632959">
        <w:rPr>
          <w:rFonts w:cs="Arial"/>
          <w:b/>
          <w:i/>
          <w:color w:val="00B050"/>
        </w:rPr>
        <w:t>A10BF</w:t>
      </w:r>
      <w:r w:rsidRPr="00632959">
        <w:rPr>
          <w:rFonts w:cs="Arial"/>
          <w:b/>
          <w:i/>
          <w:color w:val="00B050"/>
        </w:rPr>
        <w:tab/>
        <w:t>INHIBIDORES DE LA ALFA GLUCOSIDASA</w:t>
      </w:r>
    </w:p>
    <w:p w:rsidR="00632959" w:rsidRPr="00632959" w:rsidRDefault="00632959" w:rsidP="00632959">
      <w:pPr>
        <w:tabs>
          <w:tab w:val="left" w:pos="1161"/>
        </w:tabs>
        <w:ind w:left="50"/>
        <w:rPr>
          <w:rFonts w:cs="Arial"/>
          <w:b/>
          <w:i/>
          <w:color w:val="00B050"/>
        </w:rPr>
      </w:pPr>
      <w:r w:rsidRPr="00632959">
        <w:rPr>
          <w:rFonts w:cs="Arial"/>
          <w:b/>
          <w:i/>
          <w:color w:val="00B050"/>
        </w:rPr>
        <w:t>A10BF01</w:t>
      </w:r>
      <w:r w:rsidRPr="00632959">
        <w:rPr>
          <w:rFonts w:cs="Arial"/>
          <w:b/>
          <w:i/>
          <w:color w:val="00B050"/>
        </w:rPr>
        <w:tab/>
        <w:t xml:space="preserve">ACARBOSA </w:t>
      </w:r>
    </w:p>
    <w:p w:rsidR="00632959" w:rsidRPr="00632959" w:rsidRDefault="00632959" w:rsidP="00396EBC">
      <w:pPr>
        <w:numPr>
          <w:ilvl w:val="0"/>
          <w:numId w:val="71"/>
        </w:numPr>
        <w:tabs>
          <w:tab w:val="left" w:pos="1161"/>
        </w:tabs>
        <w:spacing w:after="0" w:line="240" w:lineRule="auto"/>
        <w:jc w:val="both"/>
        <w:rPr>
          <w:rFonts w:cs="Arial"/>
          <w:b/>
        </w:rPr>
      </w:pPr>
      <w:r w:rsidRPr="00632959">
        <w:t>Fármaco de alternativa frente a intolerancia y/o contraindicación de Hipoglucemiantes orales de elección en doble o triple terapia. Eficacia modesta y efectos adversos gastrointestinales frecuentes.</w:t>
      </w:r>
    </w:p>
    <w:p w:rsidR="00632959" w:rsidRPr="00632959" w:rsidRDefault="00632959" w:rsidP="00632959">
      <w:pPr>
        <w:ind w:left="50"/>
        <w:jc w:val="both"/>
      </w:pPr>
      <w:r w:rsidRPr="00632959">
        <w:rPr>
          <w:u w:val="single"/>
        </w:rPr>
        <w:t>Dosis</w:t>
      </w:r>
      <w:r w:rsidRPr="00632959">
        <w:t xml:space="preserve">: inicial 25 mg vía oral 3 veces al día; escalonar la dosis -25 mg semana- hasta llegar a los 75 mg/día disminuye los efectos adversos GI. Dosis de mantenimiento: subir a intervalos de 8 semanas 50-100 mg hasta un máximo de 150 mg/día en 3 tomas para pacientes con </w:t>
      </w:r>
      <w:smartTag w:uri="urn:schemas-microsoft-com:office:smarttags" w:element="metricconverter">
        <w:smartTagPr>
          <w:attr w:name="ProductID" w:val="60 Kg"/>
        </w:smartTagPr>
        <w:r w:rsidRPr="00632959">
          <w:t>60 Kg</w:t>
        </w:r>
      </w:smartTag>
      <w:r w:rsidRPr="00632959">
        <w:t xml:space="preserve"> de peso o menos y hasta 300 mg/día para pesos mayores a </w:t>
      </w:r>
      <w:smartTag w:uri="urn:schemas-microsoft-com:office:smarttags" w:element="metricconverter">
        <w:smartTagPr>
          <w:attr w:name="ProductID" w:val="60 Kg"/>
        </w:smartTagPr>
        <w:r w:rsidRPr="00632959">
          <w:t>60 Kg</w:t>
        </w:r>
      </w:smartTag>
      <w:r w:rsidRPr="00632959">
        <w:t>. Realizar la toma con las comidas.</w:t>
      </w:r>
    </w:p>
    <w:p w:rsidR="00632959" w:rsidRPr="00632959" w:rsidRDefault="00632959" w:rsidP="00632959">
      <w:pPr>
        <w:ind w:left="50"/>
        <w:jc w:val="both"/>
      </w:pPr>
    </w:p>
    <w:p w:rsidR="00632959" w:rsidRPr="00632959" w:rsidRDefault="00632959" w:rsidP="00632959">
      <w:pPr>
        <w:tabs>
          <w:tab w:val="left" w:pos="1161"/>
        </w:tabs>
        <w:ind w:left="50"/>
        <w:rPr>
          <w:rFonts w:cs="Arial"/>
          <w:b/>
          <w:i/>
          <w:color w:val="00B050"/>
        </w:rPr>
      </w:pPr>
      <w:r w:rsidRPr="00632959">
        <w:rPr>
          <w:rFonts w:cs="Arial"/>
          <w:b/>
          <w:i/>
          <w:color w:val="00B050"/>
        </w:rPr>
        <w:t>A10BH01</w:t>
      </w:r>
      <w:r w:rsidRPr="00632959">
        <w:rPr>
          <w:rFonts w:cs="Arial"/>
          <w:b/>
          <w:i/>
          <w:color w:val="00B050"/>
        </w:rPr>
        <w:tab/>
        <w:t xml:space="preserve">SITAGLIPTINA </w:t>
      </w:r>
    </w:p>
    <w:p w:rsidR="00632959" w:rsidRPr="00632959" w:rsidRDefault="00632959" w:rsidP="00396EBC">
      <w:pPr>
        <w:numPr>
          <w:ilvl w:val="0"/>
          <w:numId w:val="71"/>
        </w:numPr>
        <w:tabs>
          <w:tab w:val="left" w:pos="1161"/>
        </w:tabs>
        <w:spacing w:after="0" w:line="240" w:lineRule="auto"/>
        <w:jc w:val="both"/>
        <w:rPr>
          <w:rFonts w:cs="Arial"/>
          <w:b/>
        </w:rPr>
      </w:pPr>
      <w:r w:rsidRPr="00632959">
        <w:lastRenderedPageBreak/>
        <w:t xml:space="preserve">Fármaco de adición en triple terapia ante fallo de </w:t>
      </w:r>
      <w:proofErr w:type="spellStart"/>
      <w:r w:rsidRPr="00632959">
        <w:t>metformina</w:t>
      </w:r>
      <w:proofErr w:type="spellEnd"/>
      <w:r w:rsidRPr="00632959">
        <w:t xml:space="preserve"> y </w:t>
      </w:r>
      <w:proofErr w:type="spellStart"/>
      <w:r w:rsidRPr="00632959">
        <w:t>sulfonilureas</w:t>
      </w:r>
      <w:proofErr w:type="spellEnd"/>
      <w:r w:rsidRPr="00632959">
        <w:t xml:space="preserve">; o en doble terapia ante intolerancia inaceptable a </w:t>
      </w:r>
      <w:proofErr w:type="spellStart"/>
      <w:r w:rsidRPr="00632959">
        <w:t>sulfonilureas</w:t>
      </w:r>
      <w:proofErr w:type="spellEnd"/>
      <w:r w:rsidRPr="00632959">
        <w:t xml:space="preserve">. Modesta eficacia para control metabólico y sin evidencia de impacto sobre </w:t>
      </w:r>
      <w:proofErr w:type="spellStart"/>
      <w:r w:rsidRPr="00632959">
        <w:t>morbi</w:t>
      </w:r>
      <w:proofErr w:type="spellEnd"/>
      <w:r w:rsidRPr="00632959">
        <w:t>-mortalidad.</w:t>
      </w:r>
    </w:p>
    <w:p w:rsidR="00632959" w:rsidRPr="00632959" w:rsidRDefault="00632959" w:rsidP="00632959">
      <w:pPr>
        <w:ind w:left="50"/>
        <w:jc w:val="both"/>
      </w:pPr>
      <w:r w:rsidRPr="00632959">
        <w:rPr>
          <w:u w:val="single"/>
        </w:rPr>
        <w:t>Dosis</w:t>
      </w:r>
      <w:r w:rsidRPr="00632959">
        <w:t xml:space="preserve">: 100 mg vía oral 1 vez al día; en las comidas o fuera de ellas. Cuando se administra a pacientes que reciben </w:t>
      </w:r>
      <w:proofErr w:type="spellStart"/>
      <w:r w:rsidRPr="00632959">
        <w:t>sulfonilureas</w:t>
      </w:r>
      <w:proofErr w:type="spellEnd"/>
      <w:r w:rsidRPr="00632959">
        <w:t xml:space="preserve"> o que están </w:t>
      </w:r>
      <w:proofErr w:type="spellStart"/>
      <w:r w:rsidRPr="00632959">
        <w:t>insulinizados</w:t>
      </w:r>
      <w:proofErr w:type="spellEnd"/>
      <w:r w:rsidRPr="00632959">
        <w:t xml:space="preserve"> puede ser necesario disminuir la dosis de estos fármacos.</w:t>
      </w:r>
    </w:p>
    <w:p w:rsidR="00632959" w:rsidRPr="00632959" w:rsidRDefault="00632959" w:rsidP="00632959">
      <w:pPr>
        <w:ind w:left="50"/>
        <w:jc w:val="both"/>
      </w:pPr>
    </w:p>
    <w:p w:rsidR="00632959" w:rsidRPr="00632959" w:rsidRDefault="00632959" w:rsidP="00632959">
      <w:pPr>
        <w:tabs>
          <w:tab w:val="left" w:pos="1161"/>
        </w:tabs>
        <w:ind w:left="50"/>
        <w:rPr>
          <w:rFonts w:cs="Arial"/>
          <w:b/>
          <w:i/>
          <w:color w:val="00B050"/>
        </w:rPr>
      </w:pPr>
      <w:r w:rsidRPr="00632959">
        <w:rPr>
          <w:rFonts w:cs="Arial"/>
          <w:b/>
          <w:i/>
          <w:color w:val="00B050"/>
        </w:rPr>
        <w:t>A10BH02</w:t>
      </w:r>
      <w:r w:rsidRPr="00632959">
        <w:rPr>
          <w:rFonts w:cs="Arial"/>
          <w:b/>
          <w:i/>
          <w:color w:val="00B050"/>
        </w:rPr>
        <w:tab/>
        <w:t xml:space="preserve">VILDAGLIPTINA </w:t>
      </w:r>
    </w:p>
    <w:p w:rsidR="00632959" w:rsidRPr="00632959" w:rsidRDefault="00632959" w:rsidP="00396EBC">
      <w:pPr>
        <w:numPr>
          <w:ilvl w:val="0"/>
          <w:numId w:val="71"/>
        </w:numPr>
        <w:tabs>
          <w:tab w:val="left" w:pos="1161"/>
        </w:tabs>
        <w:spacing w:after="0" w:line="240" w:lineRule="auto"/>
        <w:jc w:val="both"/>
        <w:rPr>
          <w:rFonts w:cs="Arial"/>
          <w:b/>
        </w:rPr>
      </w:pPr>
      <w:r w:rsidRPr="00632959">
        <w:t xml:space="preserve">Fármaco de adición en triple terapia ante fallo de </w:t>
      </w:r>
      <w:proofErr w:type="spellStart"/>
      <w:r w:rsidRPr="00632959">
        <w:t>metformina</w:t>
      </w:r>
      <w:proofErr w:type="spellEnd"/>
      <w:r w:rsidRPr="00632959">
        <w:t xml:space="preserve"> y </w:t>
      </w:r>
      <w:proofErr w:type="spellStart"/>
      <w:r w:rsidRPr="00632959">
        <w:t>sulfonilureas</w:t>
      </w:r>
      <w:proofErr w:type="spellEnd"/>
      <w:r w:rsidRPr="00632959">
        <w:t xml:space="preserve">; o en doble terapia ante intolerancia inaceptable a </w:t>
      </w:r>
      <w:proofErr w:type="spellStart"/>
      <w:r w:rsidRPr="00632959">
        <w:t>sulfonilureas</w:t>
      </w:r>
      <w:proofErr w:type="spellEnd"/>
      <w:r w:rsidRPr="00632959">
        <w:t>. Modesta eficacia para control metabólico (</w:t>
      </w:r>
      <w:smartTag w:uri="urn:schemas-microsoft-com:office:smarttags" w:element="metricconverter">
        <w:smartTagPr>
          <w:attr w:name="ProductID" w:val="0,5 a"/>
        </w:smartTagPr>
        <w:r w:rsidRPr="00632959">
          <w:t>0,5 a</w:t>
        </w:r>
      </w:smartTag>
      <w:r w:rsidRPr="00632959">
        <w:t xml:space="preserve"> 0,8 % de HbA1c) y sin evidencia de impacto sobre </w:t>
      </w:r>
      <w:proofErr w:type="spellStart"/>
      <w:r w:rsidRPr="00632959">
        <w:t>morbi</w:t>
      </w:r>
      <w:proofErr w:type="spellEnd"/>
      <w:r w:rsidRPr="00632959">
        <w:t>-mortalidad.</w:t>
      </w:r>
    </w:p>
    <w:p w:rsidR="00632959" w:rsidRDefault="00632959" w:rsidP="00632959">
      <w:pPr>
        <w:ind w:left="50"/>
        <w:jc w:val="both"/>
      </w:pPr>
      <w:r w:rsidRPr="00632959">
        <w:rPr>
          <w:u w:val="single"/>
        </w:rPr>
        <w:t>Dosis</w:t>
      </w:r>
      <w:r w:rsidRPr="00632959">
        <w:t xml:space="preserve">: 50 mg vía oral cada 12 </w:t>
      </w:r>
      <w:proofErr w:type="spellStart"/>
      <w:r w:rsidRPr="00632959">
        <w:t>hs</w:t>
      </w:r>
      <w:proofErr w:type="spellEnd"/>
      <w:r w:rsidRPr="00632959">
        <w:t xml:space="preserve"> en combinación con </w:t>
      </w:r>
      <w:proofErr w:type="spellStart"/>
      <w:r w:rsidRPr="00632959">
        <w:t>metformina</w:t>
      </w:r>
      <w:proofErr w:type="spellEnd"/>
      <w:r w:rsidRPr="00632959">
        <w:t xml:space="preserve">, en triple terapia o en doble asociada a </w:t>
      </w:r>
      <w:proofErr w:type="spellStart"/>
      <w:r w:rsidRPr="00632959">
        <w:t>sulfonilureas</w:t>
      </w:r>
      <w:proofErr w:type="spellEnd"/>
      <w:r w:rsidRPr="00632959">
        <w:t xml:space="preserve"> 50 mg por la mañana.</w:t>
      </w:r>
    </w:p>
    <w:p w:rsidR="00E63186" w:rsidRPr="00632959" w:rsidRDefault="00E63186" w:rsidP="00632959">
      <w:pPr>
        <w:ind w:left="50"/>
        <w:jc w:val="both"/>
      </w:pPr>
    </w:p>
    <w:tbl>
      <w:tblPr>
        <w:tblW w:w="9060" w:type="dxa"/>
        <w:tblCellMar>
          <w:left w:w="70" w:type="dxa"/>
          <w:right w:w="70" w:type="dxa"/>
        </w:tblCellMar>
        <w:tblLook w:val="04A0" w:firstRow="1" w:lastRow="0" w:firstColumn="1" w:lastColumn="0" w:noHBand="0" w:noVBand="1"/>
      </w:tblPr>
      <w:tblGrid>
        <w:gridCol w:w="1134"/>
        <w:gridCol w:w="7926"/>
      </w:tblGrid>
      <w:tr w:rsidR="00E63186" w:rsidRPr="002D0CF6" w:rsidTr="00C4645B">
        <w:trPr>
          <w:trHeight w:val="300"/>
        </w:trPr>
        <w:tc>
          <w:tcPr>
            <w:tcW w:w="1134" w:type="dxa"/>
            <w:tcBorders>
              <w:top w:val="nil"/>
              <w:left w:val="nil"/>
              <w:bottom w:val="nil"/>
              <w:right w:val="nil"/>
            </w:tcBorders>
            <w:shd w:val="clear" w:color="auto" w:fill="auto"/>
            <w:noWrap/>
            <w:vAlign w:val="bottom"/>
            <w:hideMark/>
          </w:tcPr>
          <w:p w:rsidR="00E63186" w:rsidRPr="00895FDC" w:rsidRDefault="00E63186" w:rsidP="00C4645B">
            <w:pPr>
              <w:spacing w:after="0" w:line="240" w:lineRule="auto"/>
              <w:rPr>
                <w:b/>
                <w:i/>
                <w:color w:val="00B050"/>
              </w:rPr>
            </w:pPr>
            <w:r w:rsidRPr="00895FDC">
              <w:rPr>
                <w:b/>
                <w:i/>
                <w:color w:val="00B050"/>
              </w:rPr>
              <w:t>A10BJ02</w:t>
            </w:r>
          </w:p>
        </w:tc>
        <w:tc>
          <w:tcPr>
            <w:tcW w:w="7926" w:type="dxa"/>
            <w:tcBorders>
              <w:top w:val="nil"/>
              <w:left w:val="nil"/>
              <w:bottom w:val="nil"/>
              <w:right w:val="nil"/>
            </w:tcBorders>
            <w:shd w:val="clear" w:color="auto" w:fill="auto"/>
            <w:noWrap/>
            <w:vAlign w:val="center"/>
            <w:hideMark/>
          </w:tcPr>
          <w:p w:rsidR="00E63186" w:rsidRPr="00895FDC" w:rsidRDefault="00E63186" w:rsidP="00C4645B">
            <w:pPr>
              <w:spacing w:after="0" w:line="240" w:lineRule="auto"/>
              <w:rPr>
                <w:b/>
                <w:i/>
                <w:color w:val="00B050"/>
              </w:rPr>
            </w:pPr>
            <w:r w:rsidRPr="00895FDC">
              <w:rPr>
                <w:b/>
                <w:i/>
                <w:color w:val="00B050"/>
              </w:rPr>
              <w:t>LIRAGLUTIDA</w:t>
            </w:r>
          </w:p>
        </w:tc>
      </w:tr>
    </w:tbl>
    <w:p w:rsidR="00E63186" w:rsidRPr="005854ED" w:rsidRDefault="00E63186" w:rsidP="00E63186">
      <w:pPr>
        <w:pStyle w:val="Prrafodelista"/>
        <w:numPr>
          <w:ilvl w:val="0"/>
          <w:numId w:val="11"/>
        </w:numPr>
        <w:jc w:val="both"/>
        <w:rPr>
          <w:b/>
          <w:i/>
          <w:color w:val="1F3864" w:themeColor="accent1" w:themeShade="80"/>
        </w:rPr>
      </w:pPr>
      <w:r>
        <w:t xml:space="preserve">Tratamiento farmacológico de la diabetes mellitus tipo 2, con sobrepeso u obesidad como complemento de la dieta y el ejercicio en combinación con </w:t>
      </w:r>
      <w:proofErr w:type="spellStart"/>
      <w:r>
        <w:t>metformina</w:t>
      </w:r>
      <w:proofErr w:type="spellEnd"/>
      <w:r>
        <w:t xml:space="preserve"> o </w:t>
      </w:r>
      <w:proofErr w:type="spellStart"/>
      <w:r>
        <w:t>sulfonilureas</w:t>
      </w:r>
      <w:proofErr w:type="spellEnd"/>
      <w:r>
        <w:t xml:space="preserve">, cuando no hayan alcanzado control metabólico adecuado (meta). </w:t>
      </w:r>
    </w:p>
    <w:p w:rsidR="00E63186" w:rsidRPr="005854ED" w:rsidRDefault="00E63186" w:rsidP="00E63186">
      <w:pPr>
        <w:pStyle w:val="Prrafodelista"/>
        <w:numPr>
          <w:ilvl w:val="0"/>
          <w:numId w:val="11"/>
        </w:numPr>
        <w:jc w:val="both"/>
        <w:rPr>
          <w:b/>
          <w:i/>
          <w:color w:val="1F3864" w:themeColor="accent1" w:themeShade="80"/>
        </w:rPr>
      </w:pPr>
      <w:r>
        <w:t xml:space="preserve">Tratamiento de adultos con diabetes mellitus tipo 2 en monoterapia cuando la </w:t>
      </w:r>
      <w:proofErr w:type="spellStart"/>
      <w:r>
        <w:t>metformina</w:t>
      </w:r>
      <w:proofErr w:type="spellEnd"/>
      <w:r>
        <w:t xml:space="preserve"> no se considera apropiada debido a intolerancia o contraindicaciones o añadido a otros medicamentos para el tratamiento de la diabetes </w:t>
      </w:r>
    </w:p>
    <w:p w:rsidR="00E63186" w:rsidRDefault="00E63186" w:rsidP="00E63186">
      <w:pPr>
        <w:pStyle w:val="Prrafodelista"/>
        <w:ind w:left="1815"/>
        <w:jc w:val="both"/>
      </w:pPr>
      <w:r w:rsidRPr="005854ED">
        <w:rPr>
          <w:u w:val="single"/>
        </w:rPr>
        <w:t xml:space="preserve">Dosis inicial: </w:t>
      </w:r>
      <w:r>
        <w:t xml:space="preserve">0,6 mg de </w:t>
      </w:r>
      <w:proofErr w:type="spellStart"/>
      <w:r>
        <w:t>liraglutida</w:t>
      </w:r>
      <w:proofErr w:type="spellEnd"/>
      <w:r>
        <w:t xml:space="preserve"> al día en una dosis, y transcurrida al menos una semana, aumentar la dosis a 1,2 mg al día (1 dosis por día).</w:t>
      </w:r>
    </w:p>
    <w:p w:rsidR="00E63186" w:rsidRPr="005854ED" w:rsidRDefault="00E63186" w:rsidP="00E63186">
      <w:pPr>
        <w:pStyle w:val="Prrafodelista"/>
        <w:ind w:left="1815"/>
        <w:jc w:val="both"/>
        <w:rPr>
          <w:b/>
          <w:i/>
          <w:color w:val="1F3864" w:themeColor="accent1" w:themeShade="80"/>
        </w:rPr>
      </w:pPr>
      <w:r w:rsidRPr="005854ED">
        <w:rPr>
          <w:u w:val="single"/>
        </w:rPr>
        <w:t>Dosis máxima:</w:t>
      </w:r>
      <w:r>
        <w:t xml:space="preserve"> 1,8 mg al día.</w:t>
      </w:r>
    </w:p>
    <w:p w:rsidR="00632959" w:rsidRPr="00632959" w:rsidRDefault="00632959" w:rsidP="00632959">
      <w:pPr>
        <w:ind w:left="50"/>
        <w:jc w:val="both"/>
      </w:pPr>
    </w:p>
    <w:p w:rsidR="00632959" w:rsidRPr="00632959" w:rsidRDefault="00632959" w:rsidP="00632959">
      <w:pPr>
        <w:tabs>
          <w:tab w:val="left" w:pos="1161"/>
        </w:tabs>
        <w:ind w:left="50"/>
        <w:rPr>
          <w:rFonts w:cs="Arial"/>
          <w:b/>
          <w:i/>
          <w:color w:val="00B050"/>
        </w:rPr>
      </w:pPr>
      <w:r w:rsidRPr="00632959">
        <w:rPr>
          <w:rFonts w:cs="Arial"/>
          <w:b/>
          <w:i/>
          <w:color w:val="00B050"/>
        </w:rPr>
        <w:t xml:space="preserve">A10BX02 REPAGLINIDA </w:t>
      </w:r>
    </w:p>
    <w:p w:rsidR="00632959" w:rsidRPr="00632959" w:rsidRDefault="00632959" w:rsidP="00396EBC">
      <w:pPr>
        <w:numPr>
          <w:ilvl w:val="0"/>
          <w:numId w:val="69"/>
        </w:numPr>
        <w:spacing w:after="0" w:line="240" w:lineRule="auto"/>
        <w:jc w:val="both"/>
        <w:rPr>
          <w:rFonts w:cs="Arial"/>
        </w:rPr>
      </w:pPr>
      <w:r w:rsidRPr="00632959">
        <w:t xml:space="preserve">Tratamiento de alternativa de DM tipo II no controlado con dieta, ejercicio y con fallo a hipoglucemiantes orales de primera elección. </w:t>
      </w:r>
    </w:p>
    <w:p w:rsidR="00632959" w:rsidRPr="00632959" w:rsidRDefault="00632959" w:rsidP="00396EBC">
      <w:pPr>
        <w:numPr>
          <w:ilvl w:val="0"/>
          <w:numId w:val="69"/>
        </w:numPr>
        <w:spacing w:after="0" w:line="240" w:lineRule="auto"/>
        <w:jc w:val="both"/>
      </w:pPr>
      <w:r w:rsidRPr="00632959">
        <w:t xml:space="preserve">Los estudios demuestran beneficios utilizada como fármaco de adición para casos seleccionados de inadecuado control metabólico (HbA1c = &gt; 8%) donde se desea controlar especialmente las  hiperglucemias </w:t>
      </w:r>
      <w:proofErr w:type="spellStart"/>
      <w:r w:rsidRPr="00632959">
        <w:t>posprandiales</w:t>
      </w:r>
      <w:proofErr w:type="spellEnd"/>
      <w:r w:rsidRPr="00632959">
        <w:t xml:space="preserve"> persistentes. Se puede asociar a </w:t>
      </w:r>
      <w:proofErr w:type="spellStart"/>
      <w:r w:rsidRPr="00632959">
        <w:t>metformina</w:t>
      </w:r>
      <w:proofErr w:type="spellEnd"/>
      <w:r w:rsidRPr="00632959">
        <w:t xml:space="preserve"> e insulina. </w:t>
      </w:r>
    </w:p>
    <w:p w:rsidR="00632959" w:rsidRPr="00632959" w:rsidRDefault="00632959" w:rsidP="00632959">
      <w:pPr>
        <w:jc w:val="both"/>
        <w:rPr>
          <w:rFonts w:cs="Arial"/>
        </w:rPr>
      </w:pPr>
      <w:r w:rsidRPr="00632959">
        <w:rPr>
          <w:u w:val="single"/>
        </w:rPr>
        <w:t>Dosis</w:t>
      </w:r>
      <w:r w:rsidRPr="00632959">
        <w:t>: inicial 0,5mg con cada comida: hasta 4mg/día.</w:t>
      </w:r>
    </w:p>
    <w:p w:rsidR="00632959" w:rsidRPr="00B1108B" w:rsidRDefault="00632959" w:rsidP="00632959">
      <w:pPr>
        <w:tabs>
          <w:tab w:val="left" w:pos="1161"/>
        </w:tabs>
        <w:ind w:left="50"/>
        <w:rPr>
          <w:rFonts w:ascii="Verdana" w:hAnsi="Verdana" w:cs="Arial"/>
        </w:rPr>
      </w:pPr>
    </w:p>
    <w:p w:rsidR="00632959" w:rsidRPr="00632959" w:rsidRDefault="00632959" w:rsidP="00632959">
      <w:pPr>
        <w:tabs>
          <w:tab w:val="left" w:pos="1161"/>
        </w:tabs>
        <w:ind w:left="50"/>
        <w:rPr>
          <w:rFonts w:cs="Arial"/>
          <w:b/>
          <w:i/>
          <w:color w:val="00B050"/>
        </w:rPr>
      </w:pPr>
      <w:r w:rsidRPr="00632959">
        <w:rPr>
          <w:rFonts w:cs="Arial"/>
          <w:b/>
          <w:i/>
          <w:color w:val="00B050"/>
        </w:rPr>
        <w:t>A10BX03</w:t>
      </w:r>
      <w:r w:rsidRPr="00632959">
        <w:rPr>
          <w:rFonts w:cs="Arial"/>
          <w:b/>
          <w:i/>
          <w:color w:val="00B050"/>
        </w:rPr>
        <w:tab/>
        <w:t xml:space="preserve">NATEGLINIDA </w:t>
      </w:r>
    </w:p>
    <w:p w:rsidR="00632959" w:rsidRPr="00632959" w:rsidRDefault="00632959" w:rsidP="00396EBC">
      <w:pPr>
        <w:numPr>
          <w:ilvl w:val="0"/>
          <w:numId w:val="70"/>
        </w:numPr>
        <w:spacing w:after="0" w:line="240" w:lineRule="auto"/>
        <w:jc w:val="both"/>
        <w:rPr>
          <w:rFonts w:cs="Arial"/>
        </w:rPr>
      </w:pPr>
      <w:r w:rsidRPr="00632959">
        <w:t xml:space="preserve">Tratamiento de alternativa de DM tipo II no controlado con dieta, ejercicio y con fallo a hipoglucemiantes orales de primera elección. </w:t>
      </w:r>
    </w:p>
    <w:p w:rsidR="00632959" w:rsidRPr="00B1108B" w:rsidRDefault="00632959" w:rsidP="00396EBC">
      <w:pPr>
        <w:numPr>
          <w:ilvl w:val="0"/>
          <w:numId w:val="70"/>
        </w:numPr>
        <w:spacing w:after="0" w:line="240" w:lineRule="auto"/>
        <w:jc w:val="both"/>
        <w:rPr>
          <w:rFonts w:ascii="Verdana" w:hAnsi="Verdana"/>
        </w:rPr>
      </w:pPr>
      <w:r w:rsidRPr="00632959">
        <w:t xml:space="preserve">Los estudios demuestran beneficios utilizada como fármaco de adición para casos seleccionados de inadecuado control metabólico (HbA1c = &gt; 8%) donde se desea </w:t>
      </w:r>
      <w:r w:rsidRPr="00632959">
        <w:lastRenderedPageBreak/>
        <w:t>controlar especialmente las</w:t>
      </w:r>
      <w:r w:rsidRPr="00B1108B">
        <w:rPr>
          <w:rFonts w:ascii="Verdana" w:hAnsi="Verdana"/>
        </w:rPr>
        <w:t xml:space="preserve">  hiperglucemias </w:t>
      </w:r>
      <w:proofErr w:type="spellStart"/>
      <w:r w:rsidRPr="00B1108B">
        <w:rPr>
          <w:rFonts w:ascii="Verdana" w:hAnsi="Verdana"/>
        </w:rPr>
        <w:t>posprandiales</w:t>
      </w:r>
      <w:proofErr w:type="spellEnd"/>
      <w:r w:rsidRPr="00B1108B">
        <w:rPr>
          <w:rFonts w:ascii="Verdana" w:hAnsi="Verdana"/>
        </w:rPr>
        <w:t xml:space="preserve"> persistentes. Se puede asociar a </w:t>
      </w:r>
      <w:proofErr w:type="spellStart"/>
      <w:r w:rsidRPr="00B1108B">
        <w:rPr>
          <w:rFonts w:ascii="Verdana" w:hAnsi="Verdana"/>
        </w:rPr>
        <w:t>metformina</w:t>
      </w:r>
      <w:proofErr w:type="spellEnd"/>
      <w:r w:rsidRPr="00B1108B">
        <w:rPr>
          <w:rFonts w:ascii="Verdana" w:hAnsi="Verdana"/>
        </w:rPr>
        <w:t>.</w:t>
      </w:r>
    </w:p>
    <w:p w:rsidR="00632959" w:rsidRPr="00B1108B" w:rsidRDefault="00632959" w:rsidP="00396EBC">
      <w:pPr>
        <w:numPr>
          <w:ilvl w:val="0"/>
          <w:numId w:val="70"/>
        </w:numPr>
        <w:spacing w:after="0" w:line="240" w:lineRule="auto"/>
        <w:jc w:val="both"/>
        <w:rPr>
          <w:rFonts w:ascii="Verdana" w:hAnsi="Verdana"/>
        </w:rPr>
      </w:pPr>
      <w:r w:rsidRPr="00B1108B">
        <w:rPr>
          <w:rFonts w:ascii="Verdana" w:hAnsi="Verdana"/>
        </w:rPr>
        <w:t xml:space="preserve">No debe utilizarse con </w:t>
      </w:r>
      <w:proofErr w:type="spellStart"/>
      <w:r w:rsidRPr="00B1108B">
        <w:rPr>
          <w:rFonts w:ascii="Verdana" w:hAnsi="Verdana"/>
        </w:rPr>
        <w:t>sulfonilureas</w:t>
      </w:r>
      <w:proofErr w:type="spellEnd"/>
      <w:r w:rsidRPr="00B1108B">
        <w:rPr>
          <w:rFonts w:ascii="Verdana" w:hAnsi="Verdana"/>
        </w:rPr>
        <w:t>, ni puede reemplazarlas.</w:t>
      </w:r>
    </w:p>
    <w:p w:rsidR="00632959" w:rsidRPr="00B1108B" w:rsidRDefault="00632959" w:rsidP="00632959">
      <w:pPr>
        <w:jc w:val="both"/>
        <w:rPr>
          <w:rFonts w:ascii="Verdana" w:hAnsi="Verdana" w:cs="Arial"/>
        </w:rPr>
      </w:pPr>
      <w:r w:rsidRPr="00B1108B">
        <w:rPr>
          <w:rFonts w:ascii="Verdana" w:hAnsi="Verdana"/>
          <w:u w:val="single"/>
        </w:rPr>
        <w:t>Dosis:</w:t>
      </w:r>
      <w:r w:rsidRPr="00B1108B">
        <w:rPr>
          <w:rFonts w:ascii="Verdana" w:hAnsi="Verdana"/>
        </w:rPr>
        <w:t xml:space="preserve"> 60-120mg hasta 3 veces al día.</w:t>
      </w:r>
    </w:p>
    <w:p w:rsidR="00632959" w:rsidRPr="00B1108B" w:rsidRDefault="00632959" w:rsidP="00632959">
      <w:pPr>
        <w:tabs>
          <w:tab w:val="left" w:pos="1161"/>
        </w:tabs>
        <w:ind w:left="50"/>
        <w:rPr>
          <w:rFonts w:ascii="Verdana" w:hAnsi="Verdana" w:cs="Arial"/>
        </w:rPr>
      </w:pPr>
    </w:p>
    <w:p w:rsidR="005C6C52" w:rsidRPr="004251DA" w:rsidRDefault="005C6C52" w:rsidP="005C6C52">
      <w:pPr>
        <w:tabs>
          <w:tab w:val="left" w:pos="1320"/>
        </w:tabs>
        <w:ind w:left="113"/>
        <w:rPr>
          <w:rFonts w:ascii="Verdana" w:hAnsi="Verdana"/>
        </w:rPr>
      </w:pPr>
    </w:p>
    <w:p w:rsidR="005C6C52" w:rsidRPr="00895FDC" w:rsidRDefault="005C6C52" w:rsidP="00D4271E">
      <w:pPr>
        <w:tabs>
          <w:tab w:val="left" w:pos="1320"/>
        </w:tabs>
        <w:ind w:left="113"/>
        <w:rPr>
          <w:b/>
          <w:i/>
          <w:color w:val="00B050"/>
        </w:rPr>
      </w:pPr>
      <w:r w:rsidRPr="00895FDC">
        <w:rPr>
          <w:b/>
          <w:i/>
          <w:color w:val="00B050"/>
        </w:rPr>
        <w:t>A11           VITAMINAS</w:t>
      </w:r>
    </w:p>
    <w:p w:rsidR="005C6C52" w:rsidRPr="00895FDC" w:rsidRDefault="005C6C52" w:rsidP="00D4271E">
      <w:pPr>
        <w:tabs>
          <w:tab w:val="left" w:pos="1320"/>
        </w:tabs>
        <w:ind w:left="113"/>
        <w:rPr>
          <w:b/>
          <w:i/>
          <w:color w:val="00B050"/>
        </w:rPr>
      </w:pPr>
      <w:r w:rsidRPr="00895FDC">
        <w:rPr>
          <w:b/>
          <w:i/>
          <w:color w:val="00B050"/>
        </w:rPr>
        <w:t>A11CA01</w:t>
      </w:r>
      <w:r w:rsidRPr="00895FDC">
        <w:rPr>
          <w:b/>
          <w:i/>
          <w:color w:val="00B050"/>
        </w:rPr>
        <w:tab/>
        <w:t xml:space="preserve">VITAMINA A </w:t>
      </w:r>
    </w:p>
    <w:p w:rsidR="005C6C52" w:rsidRPr="00895FDC" w:rsidRDefault="005C6C52" w:rsidP="00895FDC">
      <w:pPr>
        <w:pStyle w:val="Prrafodelista"/>
        <w:numPr>
          <w:ilvl w:val="0"/>
          <w:numId w:val="14"/>
        </w:numPr>
        <w:jc w:val="both"/>
      </w:pPr>
      <w:r w:rsidRPr="00895FDC">
        <w:t xml:space="preserve">Déficit vitamínico  solo o asociado con xeroftalmia, ceguera nocturna y </w:t>
      </w:r>
      <w:proofErr w:type="spellStart"/>
      <w:r w:rsidRPr="00895FDC">
        <w:t>queratomalacia</w:t>
      </w:r>
      <w:proofErr w:type="spellEnd"/>
      <w:r w:rsidRPr="00895FDC">
        <w:t xml:space="preserve"> (en niños y adultos) retinopatías (prescripción de especialista).</w:t>
      </w:r>
    </w:p>
    <w:p w:rsidR="005C6C52" w:rsidRPr="00895FDC" w:rsidRDefault="005C6C52" w:rsidP="00895FDC">
      <w:pPr>
        <w:jc w:val="both"/>
      </w:pPr>
      <w:r w:rsidRPr="00895FDC">
        <w:t xml:space="preserve">    Dosis orales de entre 100.000 y 500.000 unidades /día.</w:t>
      </w:r>
    </w:p>
    <w:p w:rsidR="005C6C52" w:rsidRPr="004251DA" w:rsidRDefault="005C6C52" w:rsidP="005C6C52">
      <w:pPr>
        <w:tabs>
          <w:tab w:val="left" w:pos="1320"/>
        </w:tabs>
        <w:ind w:left="113"/>
        <w:rPr>
          <w:rFonts w:ascii="Verdana" w:hAnsi="Verdana"/>
        </w:rPr>
      </w:pPr>
    </w:p>
    <w:p w:rsidR="005C6C52" w:rsidRPr="00895FDC" w:rsidRDefault="005C6C52" w:rsidP="005C6C52">
      <w:pPr>
        <w:tabs>
          <w:tab w:val="left" w:pos="1320"/>
        </w:tabs>
        <w:ind w:left="113"/>
        <w:rPr>
          <w:b/>
          <w:i/>
          <w:color w:val="00B050"/>
        </w:rPr>
      </w:pPr>
      <w:r w:rsidRPr="00895FDC">
        <w:rPr>
          <w:b/>
          <w:i/>
          <w:color w:val="00B050"/>
        </w:rPr>
        <w:t>A11CC</w:t>
      </w:r>
      <w:r w:rsidRPr="00895FDC">
        <w:rPr>
          <w:b/>
          <w:i/>
          <w:color w:val="00B050"/>
        </w:rPr>
        <w:tab/>
        <w:t>VITAMINA D Y ANALOGOS</w:t>
      </w:r>
    </w:p>
    <w:p w:rsidR="005C6C52" w:rsidRPr="00895FDC" w:rsidRDefault="005C6C52" w:rsidP="005C6C52">
      <w:pPr>
        <w:tabs>
          <w:tab w:val="left" w:pos="1320"/>
        </w:tabs>
        <w:ind w:left="113"/>
        <w:rPr>
          <w:b/>
          <w:i/>
          <w:color w:val="00B050"/>
        </w:rPr>
      </w:pPr>
      <w:r w:rsidRPr="00895FDC">
        <w:rPr>
          <w:b/>
          <w:i/>
          <w:color w:val="00B050"/>
        </w:rPr>
        <w:t>A11CC04</w:t>
      </w:r>
      <w:r w:rsidRPr="00895FDC">
        <w:rPr>
          <w:b/>
          <w:i/>
          <w:color w:val="00B050"/>
        </w:rPr>
        <w:tab/>
        <w:t xml:space="preserve">CALCITRIOL  </w:t>
      </w:r>
    </w:p>
    <w:p w:rsidR="005C6C52" w:rsidRPr="00895FDC" w:rsidRDefault="005C6C52" w:rsidP="00895FDC">
      <w:pPr>
        <w:pStyle w:val="Prrafodelista"/>
        <w:numPr>
          <w:ilvl w:val="0"/>
          <w:numId w:val="14"/>
        </w:numPr>
        <w:jc w:val="both"/>
      </w:pPr>
      <w:r w:rsidRPr="00895FDC">
        <w:t xml:space="preserve">Pacientes con insuficiencia renal crónica con </w:t>
      </w:r>
      <w:proofErr w:type="spellStart"/>
      <w:r w:rsidRPr="00895FDC">
        <w:t>osteodistrofia</w:t>
      </w:r>
      <w:proofErr w:type="spellEnd"/>
      <w:r w:rsidRPr="00895FDC">
        <w:t>.</w:t>
      </w:r>
    </w:p>
    <w:p w:rsidR="005C6C52" w:rsidRPr="00895FDC" w:rsidRDefault="005C6C52" w:rsidP="00895FDC">
      <w:pPr>
        <w:pStyle w:val="Prrafodelista"/>
        <w:numPr>
          <w:ilvl w:val="0"/>
          <w:numId w:val="14"/>
        </w:numPr>
        <w:jc w:val="both"/>
      </w:pPr>
      <w:r w:rsidRPr="00895FDC">
        <w:t>Pacientes con hipoparatiroidismo e hipocalcemia refractaria.</w:t>
      </w:r>
    </w:p>
    <w:p w:rsidR="005C6C52" w:rsidRPr="00895FDC" w:rsidRDefault="005C6C52" w:rsidP="00895FDC">
      <w:pPr>
        <w:pStyle w:val="Prrafodelista"/>
        <w:numPr>
          <w:ilvl w:val="0"/>
          <w:numId w:val="14"/>
        </w:numPr>
        <w:jc w:val="both"/>
      </w:pPr>
      <w:r w:rsidRPr="00895FDC">
        <w:t xml:space="preserve">Pacientes con osteoporosis documentada en </w:t>
      </w:r>
      <w:proofErr w:type="spellStart"/>
      <w:r w:rsidRPr="00895FDC">
        <w:t>coadyuvancia</w:t>
      </w:r>
      <w:proofErr w:type="spellEnd"/>
      <w:r w:rsidRPr="00895FDC">
        <w:t xml:space="preserve"> con un agente </w:t>
      </w:r>
      <w:proofErr w:type="spellStart"/>
      <w:r w:rsidRPr="00895FDC">
        <w:t>antiresortivo</w:t>
      </w:r>
      <w:proofErr w:type="spellEnd"/>
      <w:r w:rsidRPr="00895FDC">
        <w:t xml:space="preserve">, en pacientes con falla renal o que presentan dificultad manifiesta para activar vitamina D2 (de elección para esta indicación) </w:t>
      </w:r>
    </w:p>
    <w:p w:rsidR="005C6C52" w:rsidRPr="00895FDC" w:rsidRDefault="005C6C52" w:rsidP="00895FDC">
      <w:pPr>
        <w:tabs>
          <w:tab w:val="left" w:pos="1320"/>
        </w:tabs>
        <w:ind w:left="113"/>
        <w:rPr>
          <w:b/>
          <w:i/>
          <w:color w:val="00B050"/>
        </w:rPr>
      </w:pPr>
    </w:p>
    <w:p w:rsidR="005C6C52" w:rsidRPr="00895FDC" w:rsidRDefault="005C6C52" w:rsidP="00D4271E">
      <w:pPr>
        <w:tabs>
          <w:tab w:val="left" w:pos="1320"/>
        </w:tabs>
        <w:ind w:left="113"/>
        <w:rPr>
          <w:b/>
          <w:i/>
          <w:color w:val="00B050"/>
        </w:rPr>
      </w:pPr>
      <w:r w:rsidRPr="00895FDC">
        <w:rPr>
          <w:b/>
          <w:i/>
          <w:color w:val="00B050"/>
        </w:rPr>
        <w:t>A11DA01    VITAMINA B1 (TIAMINA)</w:t>
      </w:r>
    </w:p>
    <w:p w:rsidR="005C6C52" w:rsidRPr="00895FDC" w:rsidRDefault="005C6C52" w:rsidP="00895FDC">
      <w:pPr>
        <w:pStyle w:val="Prrafodelista"/>
        <w:numPr>
          <w:ilvl w:val="0"/>
          <w:numId w:val="14"/>
        </w:numPr>
        <w:jc w:val="both"/>
      </w:pPr>
      <w:proofErr w:type="spellStart"/>
      <w:r w:rsidRPr="00895FDC">
        <w:t>Polineuropatías</w:t>
      </w:r>
      <w:proofErr w:type="spellEnd"/>
      <w:r w:rsidRPr="00895FDC">
        <w:t xml:space="preserve"> de origen metabólico y tóxico (diabetes y alcoholismo crónico, entre las prevalentes)</w:t>
      </w:r>
    </w:p>
    <w:p w:rsidR="005C6C52" w:rsidRPr="00895FDC" w:rsidRDefault="005C6C52" w:rsidP="00895FDC">
      <w:pPr>
        <w:pStyle w:val="Prrafodelista"/>
        <w:numPr>
          <w:ilvl w:val="0"/>
          <w:numId w:val="14"/>
        </w:numPr>
        <w:jc w:val="both"/>
      </w:pPr>
      <w:proofErr w:type="spellStart"/>
      <w:r w:rsidRPr="00895FDC">
        <w:t>Polineuropatías</w:t>
      </w:r>
      <w:proofErr w:type="spellEnd"/>
      <w:r w:rsidRPr="00895FDC">
        <w:t xml:space="preserve"> asociadas al uso de fármacos (</w:t>
      </w:r>
      <w:proofErr w:type="spellStart"/>
      <w:r w:rsidRPr="00895FDC">
        <w:t>citostáticos</w:t>
      </w:r>
      <w:proofErr w:type="spellEnd"/>
      <w:r w:rsidRPr="00895FDC">
        <w:t xml:space="preserve"> y </w:t>
      </w:r>
      <w:proofErr w:type="spellStart"/>
      <w:r w:rsidRPr="00895FDC">
        <w:t>tuberculostáticos</w:t>
      </w:r>
      <w:proofErr w:type="spellEnd"/>
      <w:r w:rsidRPr="00895FDC">
        <w:t>, entre otros posibles).</w:t>
      </w:r>
    </w:p>
    <w:p w:rsidR="005C6C52" w:rsidRPr="00895FDC" w:rsidRDefault="005C6C52" w:rsidP="00895FDC">
      <w:pPr>
        <w:ind w:left="360"/>
        <w:jc w:val="both"/>
        <w:rPr>
          <w:rFonts w:ascii="Verdana" w:hAnsi="Verdana"/>
        </w:rPr>
      </w:pPr>
      <w:r w:rsidRPr="00895FDC">
        <w:t>Dosis: 1-2 comprimidos por día por vía oral</w:t>
      </w:r>
      <w:r w:rsidRPr="00895FDC">
        <w:rPr>
          <w:rFonts w:ascii="Verdana" w:hAnsi="Verdana"/>
        </w:rPr>
        <w:t>.</w:t>
      </w:r>
    </w:p>
    <w:p w:rsidR="005C6C52" w:rsidRPr="00B76452" w:rsidRDefault="005C6C52" w:rsidP="005C6C52">
      <w:pPr>
        <w:pStyle w:val="Textosinformato"/>
        <w:jc w:val="both"/>
        <w:rPr>
          <w:rFonts w:ascii="Verdana" w:hAnsi="Verdana" w:cs="Times New Roman"/>
          <w:b w:val="0"/>
          <w:sz w:val="22"/>
          <w:szCs w:val="22"/>
          <w:lang w:val="es-ES"/>
        </w:rPr>
      </w:pPr>
    </w:p>
    <w:p w:rsidR="005C6C52" w:rsidRPr="00B1108B" w:rsidRDefault="005C6C52" w:rsidP="005C6C52">
      <w:pPr>
        <w:pStyle w:val="Textosinformato"/>
        <w:jc w:val="both"/>
        <w:rPr>
          <w:rFonts w:ascii="Verdana" w:hAnsi="Verdana" w:cs="Times New Roman"/>
          <w:b w:val="0"/>
          <w:sz w:val="22"/>
          <w:szCs w:val="22"/>
        </w:rPr>
      </w:pPr>
    </w:p>
    <w:p w:rsidR="005C6C52" w:rsidRPr="004251DA" w:rsidRDefault="005C6C52" w:rsidP="004251DA">
      <w:pPr>
        <w:tabs>
          <w:tab w:val="left" w:pos="1320"/>
        </w:tabs>
        <w:ind w:left="113"/>
        <w:rPr>
          <w:b/>
          <w:i/>
          <w:color w:val="00B050"/>
        </w:rPr>
      </w:pPr>
      <w:r w:rsidRPr="004251DA">
        <w:rPr>
          <w:b/>
          <w:i/>
          <w:color w:val="00B050"/>
        </w:rPr>
        <w:t xml:space="preserve">A11DB99   VITAMINA B1 EN COMBINCION CON B6 Y/O B12 </w:t>
      </w:r>
    </w:p>
    <w:p w:rsidR="005C6C52" w:rsidRPr="00895FDC" w:rsidRDefault="005C6C52" w:rsidP="00895FDC">
      <w:pPr>
        <w:pStyle w:val="Prrafodelista"/>
        <w:numPr>
          <w:ilvl w:val="0"/>
          <w:numId w:val="14"/>
        </w:numPr>
        <w:jc w:val="both"/>
      </w:pPr>
      <w:proofErr w:type="spellStart"/>
      <w:r w:rsidRPr="00895FDC">
        <w:t>Polineuropatías</w:t>
      </w:r>
      <w:proofErr w:type="spellEnd"/>
      <w:r w:rsidRPr="00895FDC">
        <w:t xml:space="preserve"> de origen metabólico y tóxico (diabetes y alcoholismo crónico, entre las prevalentes)</w:t>
      </w:r>
    </w:p>
    <w:p w:rsidR="005C6C52" w:rsidRPr="00895FDC" w:rsidRDefault="005C6C52" w:rsidP="00895FDC">
      <w:pPr>
        <w:pStyle w:val="Prrafodelista"/>
        <w:numPr>
          <w:ilvl w:val="0"/>
          <w:numId w:val="14"/>
        </w:numPr>
        <w:jc w:val="both"/>
      </w:pPr>
      <w:proofErr w:type="spellStart"/>
      <w:r w:rsidRPr="00895FDC">
        <w:t>Polineuropatías</w:t>
      </w:r>
      <w:proofErr w:type="spellEnd"/>
      <w:r w:rsidRPr="00895FDC">
        <w:t xml:space="preserve"> asociadas al uso de fármacos (</w:t>
      </w:r>
      <w:proofErr w:type="spellStart"/>
      <w:r w:rsidRPr="00895FDC">
        <w:t>citostáticos</w:t>
      </w:r>
      <w:proofErr w:type="spellEnd"/>
      <w:r w:rsidRPr="00895FDC">
        <w:t xml:space="preserve"> y </w:t>
      </w:r>
      <w:proofErr w:type="spellStart"/>
      <w:r w:rsidRPr="00895FDC">
        <w:t>tuberculostáticos</w:t>
      </w:r>
      <w:proofErr w:type="spellEnd"/>
      <w:r w:rsidRPr="00895FDC">
        <w:t>, entre otros posibles).</w:t>
      </w:r>
    </w:p>
    <w:p w:rsidR="005C6C52" w:rsidRPr="00895FDC" w:rsidRDefault="005C6C52" w:rsidP="00895FDC">
      <w:pPr>
        <w:ind w:left="360"/>
        <w:jc w:val="both"/>
      </w:pPr>
      <w:r w:rsidRPr="00895FDC">
        <w:t>Dosis: 1-2 comprimidos por día por vía oral.</w:t>
      </w:r>
    </w:p>
    <w:p w:rsidR="005C6C52" w:rsidRDefault="005C6C52" w:rsidP="005C6C52">
      <w:pPr>
        <w:tabs>
          <w:tab w:val="left" w:pos="1161"/>
        </w:tabs>
        <w:ind w:left="50"/>
        <w:rPr>
          <w:rFonts w:ascii="Verdana" w:hAnsi="Verdana" w:cs="Arial"/>
        </w:rPr>
      </w:pPr>
    </w:p>
    <w:p w:rsidR="005C6C52" w:rsidRPr="004251DA" w:rsidRDefault="005C6C52" w:rsidP="004251DA">
      <w:pPr>
        <w:tabs>
          <w:tab w:val="left" w:pos="1320"/>
        </w:tabs>
        <w:ind w:left="113"/>
        <w:rPr>
          <w:b/>
          <w:i/>
          <w:color w:val="00B050"/>
        </w:rPr>
      </w:pPr>
      <w:r w:rsidRPr="004251DA">
        <w:rPr>
          <w:b/>
          <w:i/>
          <w:color w:val="00B050"/>
        </w:rPr>
        <w:t xml:space="preserve">A11JA99  VITAMINAS A, C Y D  </w:t>
      </w:r>
    </w:p>
    <w:p w:rsidR="005C6C52" w:rsidRPr="00B1108B" w:rsidRDefault="005C6C52" w:rsidP="005C6C52">
      <w:pPr>
        <w:tabs>
          <w:tab w:val="num" w:pos="833"/>
          <w:tab w:val="left" w:pos="1320"/>
        </w:tabs>
        <w:ind w:left="833" w:hanging="360"/>
        <w:rPr>
          <w:rFonts w:ascii="Verdana" w:hAnsi="Verdana" w:cs="Arial"/>
        </w:rPr>
      </w:pPr>
      <w:r w:rsidRPr="00B1108B">
        <w:rPr>
          <w:rFonts w:ascii="Verdana" w:hAnsi="Verdana" w:cs="Arial"/>
        </w:rPr>
        <w:t xml:space="preserve">Deficiencias en prematuros y niños con comorbilidades. </w:t>
      </w:r>
    </w:p>
    <w:p w:rsidR="005C6C52" w:rsidRDefault="005C6C52" w:rsidP="005C6C52">
      <w:pPr>
        <w:tabs>
          <w:tab w:val="left" w:pos="1320"/>
        </w:tabs>
        <w:ind w:left="113"/>
        <w:rPr>
          <w:rFonts w:ascii="Verdana" w:hAnsi="Verdana" w:cs="Arial"/>
        </w:rPr>
      </w:pPr>
    </w:p>
    <w:p w:rsidR="003558D0" w:rsidRPr="003558D0" w:rsidRDefault="003558D0" w:rsidP="003558D0">
      <w:pPr>
        <w:tabs>
          <w:tab w:val="left" w:pos="1161"/>
        </w:tabs>
        <w:ind w:left="50"/>
        <w:rPr>
          <w:rFonts w:cs="Arial"/>
          <w:b/>
          <w:i/>
          <w:color w:val="00B050"/>
        </w:rPr>
      </w:pPr>
      <w:r w:rsidRPr="003558D0">
        <w:rPr>
          <w:rFonts w:cs="Arial"/>
          <w:b/>
          <w:i/>
          <w:color w:val="00B050"/>
        </w:rPr>
        <w:t>A11CC03</w:t>
      </w:r>
      <w:r w:rsidRPr="003558D0">
        <w:rPr>
          <w:rFonts w:cs="Arial"/>
          <w:b/>
          <w:i/>
          <w:color w:val="00B050"/>
        </w:rPr>
        <w:tab/>
        <w:t xml:space="preserve">  ALFACALCIDOL</w:t>
      </w:r>
    </w:p>
    <w:p w:rsidR="003558D0" w:rsidRPr="003558D0" w:rsidRDefault="003558D0" w:rsidP="00396EBC">
      <w:pPr>
        <w:numPr>
          <w:ilvl w:val="0"/>
          <w:numId w:val="72"/>
        </w:numPr>
        <w:spacing w:after="0" w:line="240" w:lineRule="auto"/>
        <w:jc w:val="both"/>
      </w:pPr>
      <w:r w:rsidRPr="003558D0">
        <w:t xml:space="preserve">Análogo de la vitamina D de alternativa ante fallo o intolerancia al </w:t>
      </w:r>
      <w:proofErr w:type="spellStart"/>
      <w:r w:rsidRPr="003558D0">
        <w:t>calcitriol</w:t>
      </w:r>
      <w:proofErr w:type="spellEnd"/>
      <w:r w:rsidRPr="003558D0">
        <w:t xml:space="preserve"> en:</w:t>
      </w:r>
    </w:p>
    <w:p w:rsidR="003558D0" w:rsidRPr="003558D0" w:rsidRDefault="003558D0" w:rsidP="00396EBC">
      <w:pPr>
        <w:numPr>
          <w:ilvl w:val="0"/>
          <w:numId w:val="72"/>
        </w:numPr>
        <w:spacing w:after="0" w:line="240" w:lineRule="auto"/>
        <w:jc w:val="both"/>
      </w:pPr>
      <w:r w:rsidRPr="003558D0">
        <w:t>Insuficiencia renal crónica en hemodiálisis.</w:t>
      </w:r>
    </w:p>
    <w:p w:rsidR="003558D0" w:rsidRPr="003558D0" w:rsidRDefault="003558D0" w:rsidP="00396EBC">
      <w:pPr>
        <w:numPr>
          <w:ilvl w:val="0"/>
          <w:numId w:val="72"/>
        </w:numPr>
        <w:spacing w:after="0" w:line="240" w:lineRule="auto"/>
        <w:jc w:val="both"/>
      </w:pPr>
      <w:r w:rsidRPr="003558D0">
        <w:t xml:space="preserve">Insuficiencia renal crónica con diálisis peritoneal continua </w:t>
      </w:r>
    </w:p>
    <w:p w:rsidR="003558D0" w:rsidRPr="003558D0" w:rsidRDefault="003558D0" w:rsidP="003558D0">
      <w:pPr>
        <w:ind w:left="720"/>
        <w:jc w:val="both"/>
      </w:pPr>
      <w:r w:rsidRPr="003558D0">
        <w:t xml:space="preserve">     </w:t>
      </w:r>
      <w:proofErr w:type="gramStart"/>
      <w:r w:rsidRPr="003558D0">
        <w:t>ambulatoria</w:t>
      </w:r>
      <w:proofErr w:type="gramEnd"/>
      <w:r w:rsidRPr="003558D0">
        <w:t>.</w:t>
      </w:r>
    </w:p>
    <w:p w:rsidR="003558D0" w:rsidRPr="003558D0" w:rsidRDefault="003558D0" w:rsidP="003558D0">
      <w:pPr>
        <w:pStyle w:val="Textoindependiente3"/>
        <w:tabs>
          <w:tab w:val="num" w:pos="720"/>
        </w:tabs>
        <w:ind w:left="720" w:hanging="360"/>
        <w:rPr>
          <w:rFonts w:asciiTheme="minorHAnsi" w:hAnsiTheme="minorHAnsi"/>
          <w:sz w:val="22"/>
          <w:szCs w:val="22"/>
        </w:rPr>
      </w:pPr>
      <w:r w:rsidRPr="003558D0">
        <w:rPr>
          <w:rFonts w:asciiTheme="minorHAnsi" w:hAnsiTheme="minorHAnsi"/>
          <w:sz w:val="22"/>
          <w:szCs w:val="22"/>
          <w:u w:val="single"/>
        </w:rPr>
        <w:t>Nota:</w:t>
      </w:r>
      <w:r w:rsidRPr="003558D0">
        <w:rPr>
          <w:rFonts w:asciiTheme="minorHAnsi" w:hAnsiTheme="minorHAnsi"/>
          <w:sz w:val="22"/>
          <w:szCs w:val="22"/>
        </w:rPr>
        <w:t xml:space="preserve"> siempre y cuando el paciente NO presente fallo hepático asociado.</w:t>
      </w:r>
    </w:p>
    <w:p w:rsidR="003558D0" w:rsidRDefault="003558D0" w:rsidP="00FE4E10">
      <w:pPr>
        <w:jc w:val="both"/>
        <w:rPr>
          <w:b/>
          <w:i/>
          <w:color w:val="00B050"/>
          <w:lang w:val="pt-BR"/>
        </w:rPr>
      </w:pPr>
    </w:p>
    <w:p w:rsidR="00FE4E10" w:rsidRPr="00FC2431" w:rsidRDefault="00FE4E10" w:rsidP="00FE4E10">
      <w:pPr>
        <w:jc w:val="both"/>
        <w:rPr>
          <w:lang w:val="pt-BR"/>
        </w:rPr>
      </w:pPr>
      <w:r w:rsidRPr="00FC2431">
        <w:rPr>
          <w:b/>
          <w:i/>
          <w:color w:val="00B050"/>
          <w:lang w:val="pt-BR"/>
        </w:rPr>
        <w:t>A11CC</w:t>
      </w:r>
      <w:r w:rsidR="00BF00B2" w:rsidRPr="00FC2431">
        <w:rPr>
          <w:b/>
          <w:i/>
          <w:color w:val="00B050"/>
          <w:lang w:val="pt-BR"/>
        </w:rPr>
        <w:t>04 CALCITRIOL</w:t>
      </w:r>
      <w:proofErr w:type="gramStart"/>
      <w:r w:rsidRPr="00FC2431">
        <w:rPr>
          <w:lang w:val="pt-BR"/>
        </w:rPr>
        <w:t xml:space="preserve">  </w:t>
      </w:r>
    </w:p>
    <w:p w:rsidR="00FE4E10" w:rsidRPr="00FC2431" w:rsidRDefault="00FE4E10" w:rsidP="005A466E">
      <w:pPr>
        <w:pStyle w:val="Prrafodelista"/>
        <w:numPr>
          <w:ilvl w:val="0"/>
          <w:numId w:val="7"/>
        </w:numPr>
        <w:jc w:val="both"/>
      </w:pPr>
      <w:proofErr w:type="gramEnd"/>
      <w:r w:rsidRPr="00FC2431">
        <w:t>Pacientes con insuficiencia renal crónica con osteodistrofia</w:t>
      </w:r>
    </w:p>
    <w:p w:rsidR="00FE4E10" w:rsidRPr="00FC2431" w:rsidRDefault="00FE4E10" w:rsidP="005A466E">
      <w:pPr>
        <w:pStyle w:val="Prrafodelista"/>
        <w:numPr>
          <w:ilvl w:val="0"/>
          <w:numId w:val="7"/>
        </w:numPr>
        <w:jc w:val="both"/>
      </w:pPr>
      <w:r w:rsidRPr="00FC2431">
        <w:t xml:space="preserve">Pacientes con hipoparatiroidismo e hipocalcemia refractaria. </w:t>
      </w:r>
    </w:p>
    <w:p w:rsidR="00FE4E10" w:rsidRPr="00FC2431" w:rsidRDefault="00FE4E10" w:rsidP="005A466E">
      <w:pPr>
        <w:pStyle w:val="Prrafodelista"/>
        <w:numPr>
          <w:ilvl w:val="0"/>
          <w:numId w:val="7"/>
        </w:numPr>
        <w:jc w:val="both"/>
      </w:pPr>
      <w:r w:rsidRPr="00FC2431">
        <w:t>Pacientes con osteoporosis documentada en coadyuvancia con un agente antiresortivo, en pacientes con falla renal o que presentan dificultad manifiesta para activar vitamina D2 (de elección para esta indicación)</w:t>
      </w:r>
    </w:p>
    <w:p w:rsidR="008E0F75" w:rsidRDefault="007B0905" w:rsidP="008D230A">
      <w:pPr>
        <w:pStyle w:val="Prrafodelista"/>
      </w:pPr>
      <w:r w:rsidRPr="00FC2431">
        <w:rPr>
          <w:u w:val="single"/>
        </w:rPr>
        <w:t>Dosis:</w:t>
      </w:r>
      <w:r w:rsidRPr="00FC2431">
        <w:t xml:space="preserve"> 0.5 – 1 mcg /para USO EV - 3 veces por semana</w:t>
      </w:r>
    </w:p>
    <w:p w:rsidR="00DE4AD3" w:rsidRPr="00FC2431" w:rsidRDefault="00DE4AD3" w:rsidP="008D230A">
      <w:pPr>
        <w:pStyle w:val="Prrafodelista"/>
      </w:pPr>
    </w:p>
    <w:p w:rsidR="00DE4AD3" w:rsidRPr="00DE4AD3" w:rsidRDefault="00DE4AD3" w:rsidP="00DE4AD3">
      <w:pPr>
        <w:tabs>
          <w:tab w:val="left" w:pos="1320"/>
        </w:tabs>
        <w:ind w:left="113"/>
        <w:rPr>
          <w:b/>
          <w:i/>
          <w:color w:val="00B050"/>
        </w:rPr>
      </w:pPr>
      <w:r w:rsidRPr="00DE4AD3">
        <w:rPr>
          <w:b/>
          <w:i/>
          <w:color w:val="00B050"/>
        </w:rPr>
        <w:t>B01A</w:t>
      </w:r>
      <w:r w:rsidRPr="00DE4AD3">
        <w:rPr>
          <w:b/>
          <w:i/>
          <w:color w:val="00B050"/>
        </w:rPr>
        <w:tab/>
        <w:t>AGENTES ANTITROMBOTICOS</w:t>
      </w:r>
    </w:p>
    <w:p w:rsidR="00DE4AD3" w:rsidRPr="00DE4AD3" w:rsidRDefault="00DE4AD3" w:rsidP="00DE4AD3">
      <w:pPr>
        <w:tabs>
          <w:tab w:val="left" w:pos="1320"/>
        </w:tabs>
        <w:ind w:left="113"/>
        <w:rPr>
          <w:b/>
          <w:i/>
          <w:color w:val="00B050"/>
        </w:rPr>
      </w:pPr>
      <w:r w:rsidRPr="00DE4AD3">
        <w:rPr>
          <w:b/>
          <w:i/>
          <w:color w:val="00B050"/>
        </w:rPr>
        <w:t>B01AB</w:t>
      </w:r>
      <w:r w:rsidRPr="00DE4AD3">
        <w:rPr>
          <w:b/>
          <w:i/>
          <w:color w:val="00B050"/>
        </w:rPr>
        <w:tab/>
        <w:t>HEPARINAS</w:t>
      </w:r>
    </w:p>
    <w:p w:rsidR="00B95C28" w:rsidRPr="00B83256" w:rsidRDefault="00183075" w:rsidP="008A0ACF">
      <w:pPr>
        <w:jc w:val="both"/>
        <w:rPr>
          <w:b/>
          <w:i/>
          <w:color w:val="00B050"/>
        </w:rPr>
      </w:pPr>
      <w:bookmarkStart w:id="2" w:name="_Hlk520075527"/>
      <w:r w:rsidRPr="00FC2431">
        <w:rPr>
          <w:b/>
          <w:i/>
          <w:color w:val="00B050"/>
        </w:rPr>
        <w:t>B01AB</w:t>
      </w:r>
      <w:r w:rsidR="00BF00B2" w:rsidRPr="00FC2431">
        <w:rPr>
          <w:b/>
          <w:i/>
          <w:color w:val="00B050"/>
        </w:rPr>
        <w:t>05 ENOXAPARINA</w:t>
      </w:r>
      <w:r w:rsidRPr="00FC2431">
        <w:rPr>
          <w:b/>
          <w:i/>
          <w:color w:val="00B050"/>
        </w:rPr>
        <w:t xml:space="preserve"> SODICA</w:t>
      </w:r>
      <w:r w:rsidRPr="00B83256">
        <w:rPr>
          <w:b/>
          <w:i/>
          <w:color w:val="00B050"/>
        </w:rPr>
        <w:t xml:space="preserve"> </w:t>
      </w:r>
    </w:p>
    <w:bookmarkEnd w:id="2"/>
    <w:p w:rsidR="00071760" w:rsidRDefault="00183075" w:rsidP="008A0ACF">
      <w:pPr>
        <w:jc w:val="both"/>
      </w:pPr>
      <w:r>
        <w:t xml:space="preserve">Las heparinas de bajo peso molecular o fraccionadas cuentan con similar eficacia clínica que las heparinas convencionales o no fraccionadas para la mayoría de las situaciones donde se requiere de la profilaxis y/o tratamiento anticoagulante en la práctica clínica. Las ventajas de orden práctico que presentan (dosis fija, ausencia de la necesidad de controles de anticoagulación de modo rutinario; y menor incidencia de trombocitopenia) deben sopesarse con su elevado costo, en la mayoría de los casos. </w:t>
      </w:r>
    </w:p>
    <w:p w:rsidR="00183075" w:rsidRDefault="00183075" w:rsidP="00183075">
      <w:pPr>
        <w:jc w:val="both"/>
      </w:pPr>
      <w:r>
        <w:t xml:space="preserve">A continuación, se resumen </w:t>
      </w:r>
      <w:r w:rsidRPr="00D169DE">
        <w:rPr>
          <w:b/>
        </w:rPr>
        <w:t>indicaciones convencionales de enoxaparina por evidencia de mayores beneficios</w:t>
      </w:r>
      <w:r>
        <w:t xml:space="preserve"> (cirugía ortopédica mayor, manejo de algunos síndromes coronarios agudos), evidencia de eficacia y seguridad en poblaciones especiales (embarazo) o bien situaciones particulares de atención ambulatoria donde dichas ventajas </w:t>
      </w:r>
      <w:r w:rsidRPr="003C387A">
        <w:rPr>
          <w:u w:val="single"/>
        </w:rPr>
        <w:t>optimizan su relación beneficio-costo</w:t>
      </w:r>
      <w:r w:rsidR="00D169DE">
        <w:t xml:space="preserve">, por lo que </w:t>
      </w:r>
      <w:r w:rsidR="00F831FB" w:rsidRPr="00F831FB">
        <w:t>el</w:t>
      </w:r>
      <w:r w:rsidR="00A402DD">
        <w:t xml:space="preserve"> </w:t>
      </w:r>
      <w:r w:rsidR="00A402DD" w:rsidRPr="00A402DD">
        <w:t>SEMPRE</w:t>
      </w:r>
      <w:r w:rsidR="00A402DD">
        <w:t xml:space="preserve"> </w:t>
      </w:r>
      <w:r w:rsidR="00D169DE" w:rsidRPr="00D169DE">
        <w:rPr>
          <w:b/>
          <w:i/>
        </w:rPr>
        <w:t xml:space="preserve">autorizará su cobertura </w:t>
      </w:r>
      <w:r w:rsidR="00D169DE" w:rsidRPr="0002330F">
        <w:rPr>
          <w:i/>
        </w:rPr>
        <w:t>en las siguientes</w:t>
      </w:r>
      <w:r w:rsidR="00D169DE" w:rsidRPr="00D169DE">
        <w:rPr>
          <w:b/>
          <w:i/>
        </w:rPr>
        <w:t xml:space="preserve"> situaciones </w:t>
      </w:r>
      <w:r w:rsidR="00F831FB" w:rsidRPr="00D169DE">
        <w:rPr>
          <w:b/>
          <w:i/>
        </w:rPr>
        <w:t xml:space="preserve">y </w:t>
      </w:r>
      <w:r w:rsidR="00F831FB">
        <w:rPr>
          <w:b/>
          <w:i/>
        </w:rPr>
        <w:t>modalidades</w:t>
      </w:r>
      <w:r w:rsidR="002F21AE">
        <w:rPr>
          <w:b/>
          <w:i/>
        </w:rPr>
        <w:t xml:space="preserve"> de uso </w:t>
      </w:r>
      <w:r w:rsidR="00F831FB">
        <w:rPr>
          <w:b/>
          <w:i/>
        </w:rPr>
        <w:t>clínico</w:t>
      </w:r>
      <w:r w:rsidR="00D169DE">
        <w:t xml:space="preserve">: </w:t>
      </w:r>
    </w:p>
    <w:p w:rsidR="003C387A" w:rsidRDefault="003C387A" w:rsidP="003C387A">
      <w:pPr>
        <w:pStyle w:val="Prrafodelista"/>
        <w:numPr>
          <w:ilvl w:val="0"/>
          <w:numId w:val="1"/>
        </w:numPr>
        <w:jc w:val="both"/>
      </w:pPr>
      <w:bookmarkStart w:id="3" w:name="_Hlk518107963"/>
      <w:r w:rsidRPr="003C387A">
        <w:rPr>
          <w:b/>
        </w:rPr>
        <w:t xml:space="preserve">Profilaxis de la enfermedad tromboembólica venosa en pacientes quirúrgicos con </w:t>
      </w:r>
      <w:bookmarkEnd w:id="3"/>
      <w:r w:rsidRPr="003C387A">
        <w:rPr>
          <w:b/>
        </w:rPr>
        <w:t>riesgo moderado o alto</w:t>
      </w:r>
      <w:r>
        <w:t xml:space="preserve"> </w:t>
      </w:r>
    </w:p>
    <w:p w:rsidR="003C387A" w:rsidRDefault="003C387A" w:rsidP="003C387A">
      <w:pPr>
        <w:pStyle w:val="Prrafodelista"/>
        <w:numPr>
          <w:ilvl w:val="0"/>
          <w:numId w:val="2"/>
        </w:numPr>
        <w:jc w:val="both"/>
      </w:pPr>
      <w:r>
        <w:t xml:space="preserve">En pacientes con </w:t>
      </w:r>
      <w:r w:rsidRPr="003C387A">
        <w:rPr>
          <w:b/>
        </w:rPr>
        <w:t xml:space="preserve">riesgo moderado </w:t>
      </w:r>
      <w:r>
        <w:t xml:space="preserve">de tromboembolismo, la posología recomendada de enoxaparina sódica es de </w:t>
      </w:r>
      <w:r w:rsidRPr="009548BF">
        <w:rPr>
          <w:b/>
        </w:rPr>
        <w:t>2.000 UI (20 mg) una vez al día vía inyección subcutánea (SC)</w:t>
      </w:r>
      <w:r>
        <w:t xml:space="preserve">. La iniciación preoperatoria (2 horas antes de la intervención) de enoxaparina sódica 2.000 UI (20 mg) ha demostrado ser efectiva y segura en pacientes con riesgo moderado. En pacientes con riesgo moderado, </w:t>
      </w:r>
      <w:r w:rsidRPr="003C387A">
        <w:rPr>
          <w:u w:val="single"/>
        </w:rPr>
        <w:t xml:space="preserve">el tratamiento con enoxaparina sódica se debe mantener durante un período mínimo de </w:t>
      </w:r>
      <w:r w:rsidRPr="003C387A">
        <w:rPr>
          <w:b/>
          <w:u w:val="single"/>
        </w:rPr>
        <w:t>7-10 días</w:t>
      </w:r>
      <w:r w:rsidRPr="003C387A">
        <w:rPr>
          <w:u w:val="single"/>
        </w:rPr>
        <w:t xml:space="preserve"> sea cual sea el estado de recuperación (por ej. </w:t>
      </w:r>
      <w:r w:rsidRPr="003C387A">
        <w:rPr>
          <w:u w:val="single"/>
        </w:rPr>
        <w:lastRenderedPageBreak/>
        <w:t>movilidad).</w:t>
      </w:r>
      <w:r>
        <w:t xml:space="preserve"> Se debe continuar la profilaxis hasta que el paciente no tenga una movilidad reducida significativa. </w:t>
      </w:r>
    </w:p>
    <w:p w:rsidR="003C387A" w:rsidRDefault="003C387A" w:rsidP="003C387A">
      <w:pPr>
        <w:pStyle w:val="Prrafodelista"/>
        <w:ind w:left="1440"/>
        <w:jc w:val="both"/>
      </w:pPr>
    </w:p>
    <w:p w:rsidR="003C387A" w:rsidRDefault="003C387A" w:rsidP="003C387A">
      <w:pPr>
        <w:pStyle w:val="Prrafodelista"/>
        <w:numPr>
          <w:ilvl w:val="0"/>
          <w:numId w:val="2"/>
        </w:numPr>
        <w:jc w:val="both"/>
      </w:pPr>
      <w:r>
        <w:t xml:space="preserve">En pacientes </w:t>
      </w:r>
      <w:r w:rsidRPr="003C387A">
        <w:rPr>
          <w:b/>
        </w:rPr>
        <w:t>con alto riesgo de tromboembolismo</w:t>
      </w:r>
      <w:r>
        <w:t xml:space="preserve">, la posología recomendada de enoxaparina sódica es de </w:t>
      </w:r>
      <w:r w:rsidRPr="009548BF">
        <w:rPr>
          <w:b/>
        </w:rPr>
        <w:t>4.000 UI (40 mg) administrada una vez al día vía SC,</w:t>
      </w:r>
      <w:r>
        <w:t xml:space="preserve"> administrando preferiblemente la primera inyección 12 horas antes de la intervención. Si fuera necesario una iniciación profiláctica preoperatoria con enoxaparina sódica antes de las 12 horas (por ej. pacientes de alto riesgo en espera de una cirugía ortopédica diferida), la última inyección se debe administrar no más tarde de 12 horas antes de la cirugía y reanudarse 12 horas después de la cirugía. </w:t>
      </w:r>
    </w:p>
    <w:p w:rsidR="003C387A" w:rsidRDefault="003C387A" w:rsidP="005A466E">
      <w:pPr>
        <w:pStyle w:val="Prrafodelista"/>
        <w:numPr>
          <w:ilvl w:val="0"/>
          <w:numId w:val="3"/>
        </w:numPr>
        <w:jc w:val="both"/>
      </w:pPr>
      <w:r>
        <w:t xml:space="preserve">Se recomienda prolongar la tromboprofilaxis </w:t>
      </w:r>
      <w:r w:rsidRPr="003C387A">
        <w:rPr>
          <w:b/>
        </w:rPr>
        <w:t>hasta 5 semanas en pacientes que se van a someter a cirugía ortopédica mayo</w:t>
      </w:r>
      <w:r>
        <w:t xml:space="preserve">r. </w:t>
      </w:r>
    </w:p>
    <w:p w:rsidR="003C387A" w:rsidRDefault="003C387A" w:rsidP="005A466E">
      <w:pPr>
        <w:pStyle w:val="Prrafodelista"/>
        <w:numPr>
          <w:ilvl w:val="0"/>
          <w:numId w:val="3"/>
        </w:numPr>
        <w:jc w:val="both"/>
      </w:pPr>
      <w:r>
        <w:t xml:space="preserve">Se recomienda prolongar la profilaxis </w:t>
      </w:r>
      <w:r w:rsidRPr="003C387A">
        <w:rPr>
          <w:b/>
        </w:rPr>
        <w:t>hasta 4 semanas en pacientes con un alto riesgo de tromboembolismo venoso (TEV) que se van a someter a cirugía oncológica abdominal o pélvica.</w:t>
      </w:r>
    </w:p>
    <w:p w:rsidR="00961931" w:rsidRPr="00961931" w:rsidRDefault="00961931" w:rsidP="00961931">
      <w:pPr>
        <w:pStyle w:val="Prrafodelista"/>
        <w:jc w:val="both"/>
      </w:pPr>
    </w:p>
    <w:p w:rsidR="00E00039" w:rsidRPr="00E00039" w:rsidRDefault="009548BF" w:rsidP="00183075">
      <w:pPr>
        <w:pStyle w:val="Prrafodelista"/>
        <w:numPr>
          <w:ilvl w:val="0"/>
          <w:numId w:val="1"/>
        </w:numPr>
        <w:jc w:val="both"/>
      </w:pPr>
      <w:r w:rsidRPr="00E00039">
        <w:rPr>
          <w:b/>
        </w:rPr>
        <w:t>Profilaxis del tromboembolismo venoso en pacientes médicos</w:t>
      </w:r>
      <w:r>
        <w:t xml:space="preserve"> La dosis recomendada de enoxaparina sódica es de </w:t>
      </w:r>
      <w:r w:rsidRPr="00E00039">
        <w:rPr>
          <w:b/>
        </w:rPr>
        <w:t>4.000 UI (40 mg) una vez al día vía SC.</w:t>
      </w:r>
      <w:r>
        <w:t xml:space="preserve"> El tratamiento con enoxaparina sódica se prescribirá durante al menos de </w:t>
      </w:r>
      <w:r w:rsidRPr="00E00039">
        <w:rPr>
          <w:b/>
        </w:rPr>
        <w:t>6 a 14 días</w:t>
      </w:r>
      <w:r>
        <w:t xml:space="preserve"> sea cual sea el estado de recuperación (por ej. movilidad). </w:t>
      </w:r>
      <w:r w:rsidRPr="00E00039">
        <w:rPr>
          <w:u w:val="single"/>
        </w:rPr>
        <w:t>No se ha establecido el beneficio para un tratamiento mayor de 14 días</w:t>
      </w:r>
      <w:r w:rsidR="00E00039" w:rsidRPr="00E00039">
        <w:rPr>
          <w:u w:val="single"/>
        </w:rPr>
        <w:t xml:space="preserve">. </w:t>
      </w:r>
    </w:p>
    <w:p w:rsidR="00E00039" w:rsidRPr="00E00039" w:rsidRDefault="00E00039" w:rsidP="00E00039">
      <w:pPr>
        <w:pStyle w:val="Prrafodelista"/>
        <w:jc w:val="both"/>
      </w:pPr>
    </w:p>
    <w:p w:rsidR="00E00039" w:rsidRDefault="009548BF" w:rsidP="00E00039">
      <w:pPr>
        <w:pStyle w:val="Prrafodelista"/>
        <w:numPr>
          <w:ilvl w:val="0"/>
          <w:numId w:val="1"/>
        </w:numPr>
        <w:jc w:val="both"/>
      </w:pPr>
      <w:r w:rsidRPr="00E00039">
        <w:rPr>
          <w:b/>
        </w:rPr>
        <w:t>Tratamiento de la trombosis venosa profunda (TVP) y el tromboembolismo pulmonar (</w:t>
      </w:r>
      <w:r w:rsidR="00E00039" w:rsidRPr="00E00039">
        <w:rPr>
          <w:b/>
        </w:rPr>
        <w:t>TEP)</w:t>
      </w:r>
      <w:r w:rsidR="00E00039">
        <w:t xml:space="preserve"> Enoxaparina</w:t>
      </w:r>
      <w:r>
        <w:t xml:space="preserve"> sódica se puede administrar SC bien en </w:t>
      </w:r>
      <w:r w:rsidRPr="00E00039">
        <w:rPr>
          <w:b/>
        </w:rPr>
        <w:t>una inyección al día de 150 UI/kg (1,5 mg/kg)</w:t>
      </w:r>
      <w:r>
        <w:t xml:space="preserve"> o bien en </w:t>
      </w:r>
      <w:r w:rsidRPr="00E00039">
        <w:rPr>
          <w:b/>
        </w:rPr>
        <w:t>dos inyecciones al día de 100 UI/kg (1 mg/kg).</w:t>
      </w:r>
      <w:r>
        <w:t xml:space="preserve"> El médico deberá seleccionar la pauta posológica basándose en una evaluación individual del riesgo tromboembólico y del riesgo de sangrado. La pauta posológica de 150 UI/kg (1,5 mg/kg) administrada una vez al día se debería utilizar en pacientes no complicados con riesgo bajo de recurrencia de TEV. La pauta posológica de 100 UI/kg (1 mg/kg) administrada dos veces al día se debería utilizar en otros pacientes tales como pacientes obesos, con EP sintomática, con cáncer, con TEV recurrente o trombosis proximal (vena iliaca).</w:t>
      </w:r>
    </w:p>
    <w:p w:rsidR="00E00039" w:rsidRDefault="009548BF" w:rsidP="00E00039">
      <w:pPr>
        <w:pStyle w:val="Prrafodelista"/>
        <w:jc w:val="both"/>
      </w:pPr>
      <w:r>
        <w:t xml:space="preserve">El tratamiento con enoxaparina sódica se prescribe para un </w:t>
      </w:r>
      <w:r w:rsidRPr="00E00039">
        <w:rPr>
          <w:b/>
        </w:rPr>
        <w:t>período medio de 10 días.</w:t>
      </w:r>
      <w:r>
        <w:t xml:space="preserve"> Se debe iniciar el tratamiento anticoagulante por vía oral cuando sea apropiado </w:t>
      </w:r>
    </w:p>
    <w:p w:rsidR="00E00039" w:rsidRDefault="00E00039" w:rsidP="00E00039">
      <w:pPr>
        <w:pStyle w:val="Prrafodelista"/>
        <w:jc w:val="both"/>
      </w:pPr>
    </w:p>
    <w:p w:rsidR="009548BF" w:rsidRPr="00576519" w:rsidRDefault="009548BF" w:rsidP="00E00039">
      <w:pPr>
        <w:pStyle w:val="Prrafodelista"/>
        <w:numPr>
          <w:ilvl w:val="0"/>
          <w:numId w:val="1"/>
        </w:numPr>
        <w:jc w:val="both"/>
        <w:rPr>
          <w:u w:val="single"/>
        </w:rPr>
      </w:pPr>
      <w:r w:rsidRPr="00E00039">
        <w:rPr>
          <w:b/>
        </w:rPr>
        <w:t>Prevención de la formación de coágulos durante la hemodiálisis</w:t>
      </w:r>
      <w:r w:rsidR="00576519">
        <w:rPr>
          <w:b/>
        </w:rPr>
        <w:t xml:space="preserve">. </w:t>
      </w:r>
      <w:r>
        <w:t xml:space="preserve">La dosis recomendada es de </w:t>
      </w:r>
      <w:r w:rsidRPr="00576519">
        <w:rPr>
          <w:b/>
        </w:rPr>
        <w:t>100 UI/kg (1 mg/kg) de enoxaparina sódica</w:t>
      </w:r>
      <w:r>
        <w:t xml:space="preserve">. En pacientes con un alto riesgo de hemorragia, se debe reducir la dosis a 50 UI/kg (0,5 mg/kg) para doble acceso vascular o 75 UI/kg (0,75 mg/kg) para acceso vascular simple. </w:t>
      </w:r>
      <w:r w:rsidRPr="00576519">
        <w:rPr>
          <w:u w:val="single"/>
        </w:rPr>
        <w:t>No hay datos disponibles de utilización de enoxaparina sódica en pacientes para profilaxis o tratamiento durante las sesiones de hemodiálisis.</w:t>
      </w:r>
    </w:p>
    <w:p w:rsidR="00C71341" w:rsidRPr="00C71341" w:rsidRDefault="00C71341" w:rsidP="00C71341">
      <w:pPr>
        <w:pStyle w:val="Prrafodelista"/>
        <w:jc w:val="both"/>
      </w:pPr>
    </w:p>
    <w:p w:rsidR="008A381C" w:rsidRPr="008A381C" w:rsidRDefault="008A381C" w:rsidP="008A381C">
      <w:pPr>
        <w:pStyle w:val="Prrafodelista"/>
        <w:numPr>
          <w:ilvl w:val="0"/>
          <w:numId w:val="1"/>
        </w:numPr>
        <w:jc w:val="both"/>
      </w:pPr>
      <w:r w:rsidRPr="008A381C">
        <w:rPr>
          <w:b/>
        </w:rPr>
        <w:t>T</w:t>
      </w:r>
      <w:r w:rsidR="00961931" w:rsidRPr="008A381C">
        <w:rPr>
          <w:b/>
        </w:rPr>
        <w:t>romboembolismo venoso</w:t>
      </w:r>
      <w:r>
        <w:rPr>
          <w:b/>
        </w:rPr>
        <w:t xml:space="preserve"> o evento tromboembólico (ETE)</w:t>
      </w:r>
      <w:r w:rsidR="00961931" w:rsidRPr="008A381C">
        <w:rPr>
          <w:b/>
        </w:rPr>
        <w:t xml:space="preserve"> y la trombofilia en el embarazo</w:t>
      </w:r>
    </w:p>
    <w:p w:rsidR="00961931" w:rsidRPr="006F0304" w:rsidRDefault="008A381C" w:rsidP="005A466E">
      <w:pPr>
        <w:pStyle w:val="Prrafodelista"/>
        <w:numPr>
          <w:ilvl w:val="0"/>
          <w:numId w:val="4"/>
        </w:numPr>
        <w:jc w:val="both"/>
      </w:pPr>
      <w:r>
        <w:t xml:space="preserve">La </w:t>
      </w:r>
      <w:r w:rsidR="00961931" w:rsidRPr="00276D75">
        <w:rPr>
          <w:b/>
        </w:rPr>
        <w:t>dosis de enoxaparina</w:t>
      </w:r>
      <w:r w:rsidR="00961931" w:rsidRPr="00961931">
        <w:t xml:space="preserve"> recomendada para </w:t>
      </w:r>
      <w:r w:rsidR="00276D75" w:rsidRPr="006F0304">
        <w:rPr>
          <w:b/>
          <w:u w:val="single"/>
        </w:rPr>
        <w:t xml:space="preserve">profilaxis </w:t>
      </w:r>
      <w:r w:rsidR="00961931" w:rsidRPr="008A381C">
        <w:t>de</w:t>
      </w:r>
      <w:r w:rsidR="00961931" w:rsidRPr="008A381C">
        <w:rPr>
          <w:b/>
        </w:rPr>
        <w:t xml:space="preserve"> </w:t>
      </w:r>
      <w:r w:rsidR="00961931" w:rsidRPr="00961931">
        <w:t xml:space="preserve">un proceso trombótico </w:t>
      </w:r>
      <w:r>
        <w:t xml:space="preserve">en la embarazada </w:t>
      </w:r>
      <w:r w:rsidR="005F0FE3" w:rsidRPr="00961931">
        <w:t xml:space="preserve">es </w:t>
      </w:r>
      <w:r w:rsidR="005F0FE3">
        <w:t>a</w:t>
      </w:r>
      <w:r w:rsidR="005F0FE3" w:rsidRPr="005F0FE3">
        <w:rPr>
          <w:b/>
        </w:rPr>
        <w:t>)</w:t>
      </w:r>
      <w:r w:rsidR="005F0FE3">
        <w:t xml:space="preserve"> </w:t>
      </w:r>
      <w:r w:rsidR="005F0FE3" w:rsidRPr="005F0FE3">
        <w:rPr>
          <w:b/>
        </w:rPr>
        <w:t>20 mg /día</w:t>
      </w:r>
      <w:r w:rsidR="005F0FE3">
        <w:t xml:space="preserve"> </w:t>
      </w:r>
      <w:r w:rsidR="005F0FE3" w:rsidRPr="005F0FE3">
        <w:t>hasta</w:t>
      </w:r>
      <w:r w:rsidR="005F0FE3" w:rsidRPr="005F0FE3">
        <w:rPr>
          <w:b/>
        </w:rPr>
        <w:t xml:space="preserve"> 50Kg de peso</w:t>
      </w:r>
      <w:r w:rsidR="005F0FE3">
        <w:t xml:space="preserve">                                        </w:t>
      </w:r>
      <w:r w:rsidR="005F0FE3" w:rsidRPr="005F0FE3">
        <w:rPr>
          <w:b/>
        </w:rPr>
        <w:lastRenderedPageBreak/>
        <w:t>b)</w:t>
      </w:r>
      <w:r w:rsidR="00961931" w:rsidRPr="00961931">
        <w:t xml:space="preserve"> </w:t>
      </w:r>
      <w:r w:rsidR="005F0FE3">
        <w:rPr>
          <w:b/>
        </w:rPr>
        <w:t>4</w:t>
      </w:r>
      <w:r w:rsidR="005F0FE3" w:rsidRPr="005F0FE3">
        <w:rPr>
          <w:b/>
        </w:rPr>
        <w:t>0 mg /día</w:t>
      </w:r>
      <w:r w:rsidR="006F0304">
        <w:t xml:space="preserve"> entre </w:t>
      </w:r>
      <w:r w:rsidR="005F0FE3" w:rsidRPr="005F0FE3">
        <w:rPr>
          <w:b/>
        </w:rPr>
        <w:t>50</w:t>
      </w:r>
      <w:r w:rsidR="006F0304">
        <w:rPr>
          <w:b/>
        </w:rPr>
        <w:t xml:space="preserve"> -90 </w:t>
      </w:r>
      <w:r w:rsidR="005F0FE3" w:rsidRPr="005F0FE3">
        <w:rPr>
          <w:b/>
        </w:rPr>
        <w:t>Kg de peso</w:t>
      </w:r>
      <w:r w:rsidR="005F0FE3">
        <w:t xml:space="preserve"> </w:t>
      </w:r>
      <w:r w:rsidR="006F0304">
        <w:t xml:space="preserve">y </w:t>
      </w:r>
      <w:r w:rsidR="006F0304">
        <w:rPr>
          <w:b/>
        </w:rPr>
        <w:t>c</w:t>
      </w:r>
      <w:r w:rsidR="006F0304" w:rsidRPr="005F0FE3">
        <w:rPr>
          <w:b/>
        </w:rPr>
        <w:t>)</w:t>
      </w:r>
      <w:r w:rsidR="006F0304" w:rsidRPr="00961931">
        <w:t xml:space="preserve"> </w:t>
      </w:r>
      <w:r w:rsidR="006F0304">
        <w:rPr>
          <w:b/>
        </w:rPr>
        <w:t>4</w:t>
      </w:r>
      <w:r w:rsidR="006F0304" w:rsidRPr="005F0FE3">
        <w:rPr>
          <w:b/>
        </w:rPr>
        <w:t xml:space="preserve">0 mg </w:t>
      </w:r>
      <w:r w:rsidR="006F0304">
        <w:rPr>
          <w:b/>
        </w:rPr>
        <w:t xml:space="preserve">cada 12 horas </w:t>
      </w:r>
      <w:r w:rsidR="006F0304" w:rsidRPr="006F0304">
        <w:t>para pacientes de</w:t>
      </w:r>
      <w:r w:rsidR="006F0304">
        <w:rPr>
          <w:b/>
        </w:rPr>
        <w:t xml:space="preserve"> más de 90 </w:t>
      </w:r>
      <w:r w:rsidR="006F0304" w:rsidRPr="005F0FE3">
        <w:rPr>
          <w:b/>
        </w:rPr>
        <w:t>Kg de peso</w:t>
      </w:r>
      <w:r w:rsidR="008876A6">
        <w:rPr>
          <w:b/>
        </w:rPr>
        <w:t xml:space="preserve"> </w:t>
      </w:r>
      <w:r w:rsidR="008876A6" w:rsidRPr="008876A6">
        <w:rPr>
          <w:u w:val="single"/>
        </w:rPr>
        <w:t>(todas dosis de profilaxis)</w:t>
      </w:r>
    </w:p>
    <w:p w:rsidR="006F0304" w:rsidRDefault="006F0304" w:rsidP="006F0304">
      <w:pPr>
        <w:pStyle w:val="Prrafodelista"/>
        <w:ind w:left="1440"/>
        <w:jc w:val="both"/>
      </w:pPr>
    </w:p>
    <w:p w:rsidR="00C71341" w:rsidRDefault="008A381C" w:rsidP="005A466E">
      <w:pPr>
        <w:pStyle w:val="Prrafodelista"/>
        <w:numPr>
          <w:ilvl w:val="0"/>
          <w:numId w:val="4"/>
        </w:numPr>
        <w:jc w:val="both"/>
      </w:pPr>
      <w:r>
        <w:t xml:space="preserve">La </w:t>
      </w:r>
      <w:r w:rsidRPr="00276D75">
        <w:rPr>
          <w:b/>
        </w:rPr>
        <w:t>dosis de enoxaparina</w:t>
      </w:r>
      <w:r w:rsidRPr="00961931">
        <w:t xml:space="preserve"> recomendada para el </w:t>
      </w:r>
      <w:r w:rsidRPr="006F0304">
        <w:rPr>
          <w:b/>
          <w:u w:val="single"/>
        </w:rPr>
        <w:t xml:space="preserve">tratamiento </w:t>
      </w:r>
      <w:r w:rsidRPr="008A381C">
        <w:t>de</w:t>
      </w:r>
      <w:r w:rsidRPr="00C71341">
        <w:rPr>
          <w:b/>
        </w:rPr>
        <w:t xml:space="preserve"> </w:t>
      </w:r>
      <w:r w:rsidRPr="00961931">
        <w:t xml:space="preserve">un proceso trombótico </w:t>
      </w:r>
      <w:r>
        <w:t xml:space="preserve">en la embarazada </w:t>
      </w:r>
      <w:r w:rsidRPr="00961931">
        <w:t xml:space="preserve">es de </w:t>
      </w:r>
      <w:r w:rsidRPr="008876A6">
        <w:rPr>
          <w:b/>
        </w:rPr>
        <w:t>1 mg/kg cada 12 horas</w:t>
      </w:r>
      <w:r w:rsidRPr="00961931">
        <w:t>.</w:t>
      </w:r>
      <w:r w:rsidR="00C71341">
        <w:t xml:space="preserve"> </w:t>
      </w:r>
      <w:r w:rsidR="008876A6">
        <w:t xml:space="preserve">(dosis terapéutica) </w:t>
      </w:r>
    </w:p>
    <w:p w:rsidR="00C71341" w:rsidRPr="00C71341" w:rsidRDefault="00C71341" w:rsidP="00C71341">
      <w:pPr>
        <w:pStyle w:val="Prrafodelista"/>
        <w:ind w:left="1440"/>
        <w:jc w:val="both"/>
      </w:pPr>
    </w:p>
    <w:p w:rsidR="00C71341" w:rsidRPr="00C71341" w:rsidRDefault="008A381C" w:rsidP="005A466E">
      <w:pPr>
        <w:pStyle w:val="Prrafodelista"/>
        <w:numPr>
          <w:ilvl w:val="0"/>
          <w:numId w:val="5"/>
        </w:numPr>
        <w:jc w:val="both"/>
      </w:pPr>
      <w:r w:rsidRPr="00C71341">
        <w:rPr>
          <w:b/>
        </w:rPr>
        <w:t xml:space="preserve">Paciente con ETE recurrente y/o asociado a </w:t>
      </w:r>
      <w:r w:rsidR="00E80C7D" w:rsidRPr="00C71341">
        <w:rPr>
          <w:b/>
        </w:rPr>
        <w:t xml:space="preserve">embarazo previo, puerperio o uso de anticonceptivos orales. </w:t>
      </w:r>
      <w:r w:rsidR="00E80C7D">
        <w:t xml:space="preserve">Estas pacientes presentan un riesgo alto de trombosis durante el embarazo y puerperio por lo que se recomienda </w:t>
      </w:r>
      <w:r w:rsidR="00E80C7D" w:rsidRPr="00C71341">
        <w:rPr>
          <w:b/>
        </w:rPr>
        <w:t>tratamiento profiláctico</w:t>
      </w:r>
      <w:r w:rsidR="00E80C7D">
        <w:t xml:space="preserve"> con enoxaparina </w:t>
      </w:r>
      <w:r w:rsidR="00E80C7D" w:rsidRPr="00C71341">
        <w:rPr>
          <w:b/>
        </w:rPr>
        <w:t>anteparto y hasta 6-8 semanas postparto.</w:t>
      </w:r>
      <w:r w:rsidR="00C71341" w:rsidRPr="00C71341">
        <w:rPr>
          <w:b/>
        </w:rPr>
        <w:t xml:space="preserve"> </w:t>
      </w:r>
    </w:p>
    <w:p w:rsidR="00C71341" w:rsidRDefault="00C71341" w:rsidP="00C71341">
      <w:pPr>
        <w:pStyle w:val="Prrafodelista"/>
        <w:ind w:left="2160"/>
        <w:jc w:val="both"/>
      </w:pPr>
    </w:p>
    <w:p w:rsidR="00C40FE9" w:rsidRDefault="00C71341" w:rsidP="005A466E">
      <w:pPr>
        <w:pStyle w:val="Prrafodelista"/>
        <w:numPr>
          <w:ilvl w:val="0"/>
          <w:numId w:val="5"/>
        </w:numPr>
        <w:jc w:val="both"/>
      </w:pPr>
      <w:r w:rsidRPr="00C40FE9">
        <w:rPr>
          <w:b/>
        </w:rPr>
        <w:t>Pacientes con antecedentes de ETE y con trombofilia hereditaria</w:t>
      </w:r>
      <w:r>
        <w:t xml:space="preserve">: En todos los casos, está indicada la profilaxis anteparto (HBPM a dosis profilácticas) y postparto (HBPM a </w:t>
      </w:r>
      <w:r w:rsidRPr="00C40FE9">
        <w:rPr>
          <w:b/>
        </w:rPr>
        <w:t>dosis profilácticas</w:t>
      </w:r>
      <w:r>
        <w:t xml:space="preserve"> durante 6 -8 semanas). </w:t>
      </w:r>
    </w:p>
    <w:p w:rsidR="00C40FE9" w:rsidRDefault="00C40FE9" w:rsidP="00C40FE9">
      <w:pPr>
        <w:pStyle w:val="Prrafodelista"/>
      </w:pPr>
    </w:p>
    <w:p w:rsidR="00C40FE9" w:rsidRDefault="00C40FE9" w:rsidP="005A466E">
      <w:pPr>
        <w:pStyle w:val="Prrafodelista"/>
        <w:numPr>
          <w:ilvl w:val="0"/>
          <w:numId w:val="5"/>
        </w:numPr>
        <w:jc w:val="both"/>
      </w:pPr>
      <w:r w:rsidRPr="00C40FE9">
        <w:rPr>
          <w:b/>
        </w:rPr>
        <w:t>Pacientes sin antecedentes de ETE y con trombofilia hereditaria</w:t>
      </w:r>
      <w:r>
        <w:rPr>
          <w:b/>
        </w:rPr>
        <w:t>:</w:t>
      </w:r>
      <w:r>
        <w:t xml:space="preserve"> Cada vez más se atienden en las consultas a pacientes portadoras de alteraciones trombofílicas hereditarias detectadas a partir de la investigación familiar iniciada después del diagnóstico en un miembro de la familia sintomático. </w:t>
      </w:r>
      <w:r w:rsidRPr="006F0304">
        <w:rPr>
          <w:u w:val="single"/>
        </w:rPr>
        <w:t>El riesgo de ETE en gestantes portadoras de una trombofilia varía considerablemente dependiendo del tipo de trombofilia.</w:t>
      </w:r>
      <w:r>
        <w:t xml:space="preserve"> Por tanto, las gestantes deben estratificarse dependiendo del nivel de riesgo asociado a su trombofilia</w:t>
      </w:r>
      <w:r w:rsidRPr="00C40FE9">
        <w:rPr>
          <w:b/>
        </w:rPr>
        <w:t xml:space="preserve">. </w:t>
      </w:r>
      <w:r>
        <w:rPr>
          <w:b/>
        </w:rPr>
        <w:t xml:space="preserve">Para los casos de </w:t>
      </w:r>
      <w:r w:rsidRPr="00C40FE9">
        <w:rPr>
          <w:b/>
        </w:rPr>
        <w:t>déficit de antitrombina, factor V Leiden homocigoto, mutación G20210A de la protrombina homocigota y los déficits combinados</w:t>
      </w:r>
      <w:r>
        <w:t xml:space="preserve"> se </w:t>
      </w:r>
      <w:r w:rsidR="00861889">
        <w:t>utilizará</w:t>
      </w:r>
      <w:r w:rsidR="006F0304">
        <w:t xml:space="preserve"> enoxaparina </w:t>
      </w:r>
      <w:r w:rsidRPr="00C40FE9">
        <w:rPr>
          <w:b/>
        </w:rPr>
        <w:t xml:space="preserve">anteparto </w:t>
      </w:r>
      <w:r w:rsidR="006F0304">
        <w:rPr>
          <w:b/>
        </w:rPr>
        <w:t>(</w:t>
      </w:r>
      <w:r w:rsidRPr="00C40FE9">
        <w:rPr>
          <w:b/>
        </w:rPr>
        <w:t>a dosis profilácticas) y postparto (a dosis profilácticas durante 6 - 8 semanas).</w:t>
      </w:r>
    </w:p>
    <w:p w:rsidR="00C40FE9" w:rsidRDefault="00C40FE9" w:rsidP="00C71341">
      <w:pPr>
        <w:pStyle w:val="Prrafodelista"/>
      </w:pPr>
    </w:p>
    <w:p w:rsidR="002D0CF6" w:rsidRDefault="00C71341" w:rsidP="005A466E">
      <w:pPr>
        <w:pStyle w:val="Prrafodelista"/>
        <w:numPr>
          <w:ilvl w:val="0"/>
          <w:numId w:val="5"/>
        </w:numPr>
        <w:jc w:val="both"/>
      </w:pPr>
      <w:r w:rsidRPr="002F47E7">
        <w:rPr>
          <w:b/>
        </w:rPr>
        <w:t>Profilaxis post-cesárea en gestante sin ETE previo ni trombofilia.</w:t>
      </w:r>
      <w:r>
        <w:t xml:space="preserve">                      El riesgo de trombosis postparto de la cesárea electiva es por lo menos el doble del parto vaginal. Por su parte, la cesárea urgente o en curso de parto presenta el doble de riesgo trombotico que la cesárea electiva. Por todo ello, se recomienda </w:t>
      </w:r>
      <w:r w:rsidRPr="002F47E7">
        <w:rPr>
          <w:b/>
        </w:rPr>
        <w:t>profilaxis</w:t>
      </w:r>
      <w:r>
        <w:t xml:space="preserve"> con </w:t>
      </w:r>
      <w:r w:rsidRPr="002F47E7">
        <w:rPr>
          <w:b/>
        </w:rPr>
        <w:t>enoxaparina</w:t>
      </w:r>
      <w:r>
        <w:t xml:space="preserve"> a todas las pacientes a las que se practique una </w:t>
      </w:r>
      <w:r w:rsidRPr="002F47E7">
        <w:rPr>
          <w:u w:val="single"/>
        </w:rPr>
        <w:t>cesárea urgente o en curso de parto durante todo el ingreso hospitalario</w:t>
      </w:r>
      <w:r>
        <w:t xml:space="preserve">. En los casos de cesárea electiva la profilaxis con </w:t>
      </w:r>
      <w:r w:rsidR="0096346C">
        <w:t>enoxaparina</w:t>
      </w:r>
      <w:r>
        <w:t xml:space="preserve"> estará indicada solo </w:t>
      </w:r>
      <w:r w:rsidRPr="002F47E7">
        <w:rPr>
          <w:u w:val="single"/>
        </w:rPr>
        <w:t>si presentan uno o más factores de riesgo trombótico</w:t>
      </w:r>
      <w:r>
        <w:t xml:space="preserve">. </w:t>
      </w:r>
    </w:p>
    <w:p w:rsidR="008D230A" w:rsidRDefault="008D230A" w:rsidP="008D230A">
      <w:pPr>
        <w:pStyle w:val="Prrafodelista"/>
      </w:pPr>
    </w:p>
    <w:p w:rsidR="00861889" w:rsidRDefault="00861889" w:rsidP="00861889">
      <w:pPr>
        <w:pStyle w:val="Prrafodelista"/>
      </w:pPr>
      <w:bookmarkStart w:id="4" w:name="_Hlk519954396"/>
      <w:bookmarkStart w:id="5" w:name="_Hlk519969275"/>
      <w:r w:rsidRPr="00B44D33">
        <w:rPr>
          <w:u w:val="single"/>
        </w:rPr>
        <w:t>Dosis:</w:t>
      </w:r>
      <w:r w:rsidRPr="00B44D33">
        <w:t xml:space="preserve"> variable según </w:t>
      </w:r>
      <w:r>
        <w:t xml:space="preserve">detalle y condición definida en cada INDICACION arriba. </w:t>
      </w:r>
    </w:p>
    <w:p w:rsidR="00861889" w:rsidRDefault="00861889" w:rsidP="00861889">
      <w:pPr>
        <w:pStyle w:val="Prrafodelista"/>
      </w:pPr>
    </w:p>
    <w:p w:rsidR="00363605" w:rsidRPr="00363605" w:rsidRDefault="00363605" w:rsidP="00363605">
      <w:pPr>
        <w:jc w:val="both"/>
        <w:rPr>
          <w:b/>
          <w:i/>
          <w:color w:val="00B050"/>
        </w:rPr>
      </w:pPr>
      <w:bookmarkStart w:id="6" w:name="_Hlk519795431"/>
      <w:bookmarkStart w:id="7" w:name="_Hlk520076485"/>
      <w:bookmarkEnd w:id="4"/>
      <w:bookmarkEnd w:id="5"/>
      <w:r w:rsidRPr="00BC064C">
        <w:rPr>
          <w:b/>
          <w:i/>
          <w:color w:val="00B050"/>
        </w:rPr>
        <w:t>B01AB</w:t>
      </w:r>
      <w:r w:rsidR="00BF00B2" w:rsidRPr="00BC064C">
        <w:rPr>
          <w:b/>
          <w:i/>
          <w:color w:val="00B050"/>
        </w:rPr>
        <w:t>0</w:t>
      </w:r>
      <w:r w:rsidR="005C67A5" w:rsidRPr="00BC064C">
        <w:rPr>
          <w:b/>
          <w:i/>
          <w:color w:val="00B050"/>
        </w:rPr>
        <w:t>6</w:t>
      </w:r>
      <w:r w:rsidR="00BF00B2" w:rsidRPr="00BC064C">
        <w:rPr>
          <w:b/>
          <w:i/>
          <w:color w:val="00B050"/>
        </w:rPr>
        <w:t xml:space="preserve"> NADROPARINA</w:t>
      </w:r>
      <w:r w:rsidRPr="00BC064C">
        <w:rPr>
          <w:b/>
          <w:i/>
          <w:color w:val="00B050"/>
        </w:rPr>
        <w:t xml:space="preserve"> </w:t>
      </w:r>
      <w:r w:rsidR="00A07598" w:rsidRPr="00BC064C">
        <w:rPr>
          <w:b/>
          <w:i/>
          <w:color w:val="00B050"/>
        </w:rPr>
        <w:t>CALCICA</w:t>
      </w:r>
      <w:r w:rsidRPr="00363605">
        <w:rPr>
          <w:b/>
          <w:i/>
          <w:color w:val="00B050"/>
        </w:rPr>
        <w:t xml:space="preserve"> </w:t>
      </w:r>
    </w:p>
    <w:bookmarkEnd w:id="6"/>
    <w:bookmarkEnd w:id="7"/>
    <w:p w:rsidR="00363605" w:rsidRDefault="00363605" w:rsidP="00363605">
      <w:pPr>
        <w:pStyle w:val="Prrafodelista"/>
        <w:numPr>
          <w:ilvl w:val="0"/>
          <w:numId w:val="1"/>
        </w:numPr>
        <w:jc w:val="both"/>
      </w:pPr>
      <w:r w:rsidRPr="003C387A">
        <w:rPr>
          <w:b/>
        </w:rPr>
        <w:t>Profilaxis de la enfermedad tromboembólica venosa en pacientes quirúrgicos con riesgo moderado o alto</w:t>
      </w:r>
      <w:r>
        <w:t xml:space="preserve"> </w:t>
      </w:r>
    </w:p>
    <w:p w:rsidR="00363605" w:rsidRDefault="00363605" w:rsidP="00363605">
      <w:pPr>
        <w:pStyle w:val="Prrafodelista"/>
        <w:numPr>
          <w:ilvl w:val="0"/>
          <w:numId w:val="2"/>
        </w:numPr>
        <w:jc w:val="both"/>
      </w:pPr>
      <w:r>
        <w:t xml:space="preserve">En pacientes con </w:t>
      </w:r>
      <w:r w:rsidRPr="003C387A">
        <w:rPr>
          <w:b/>
        </w:rPr>
        <w:t xml:space="preserve">riesgo moderado </w:t>
      </w:r>
      <w:r>
        <w:t xml:space="preserve">de tromboembolismo, la posología recomendada de enoxaparina sódica es de </w:t>
      </w:r>
      <w:bookmarkStart w:id="8" w:name="_Hlk519967303"/>
      <w:r w:rsidRPr="00363605">
        <w:rPr>
          <w:b/>
        </w:rPr>
        <w:t>2.850</w:t>
      </w:r>
      <w:r w:rsidRPr="009548BF">
        <w:rPr>
          <w:b/>
        </w:rPr>
        <w:t xml:space="preserve"> UI</w:t>
      </w:r>
      <w:r>
        <w:rPr>
          <w:b/>
        </w:rPr>
        <w:t xml:space="preserve"> AXa</w:t>
      </w:r>
      <w:r w:rsidRPr="009548BF">
        <w:rPr>
          <w:b/>
        </w:rPr>
        <w:t xml:space="preserve"> (</w:t>
      </w:r>
      <w:r>
        <w:rPr>
          <w:b/>
        </w:rPr>
        <w:t>0,3ml</w:t>
      </w:r>
      <w:r w:rsidRPr="009548BF">
        <w:rPr>
          <w:b/>
        </w:rPr>
        <w:t xml:space="preserve">) </w:t>
      </w:r>
      <w:bookmarkEnd w:id="8"/>
      <w:r w:rsidRPr="009548BF">
        <w:rPr>
          <w:b/>
        </w:rPr>
        <w:t xml:space="preserve">una vez al día </w:t>
      </w:r>
      <w:r w:rsidRPr="009548BF">
        <w:rPr>
          <w:b/>
        </w:rPr>
        <w:lastRenderedPageBreak/>
        <w:t>vía inyección subcutánea (SC)</w:t>
      </w:r>
      <w:r>
        <w:t xml:space="preserve">. En pacientes con riesgo moderado, </w:t>
      </w:r>
      <w:r w:rsidRPr="003C387A">
        <w:rPr>
          <w:u w:val="single"/>
        </w:rPr>
        <w:t xml:space="preserve">el tratamiento se debe mantener durante un período mínimo de </w:t>
      </w:r>
      <w:r w:rsidRPr="003C387A">
        <w:rPr>
          <w:b/>
          <w:u w:val="single"/>
        </w:rPr>
        <w:t>7-10 días</w:t>
      </w:r>
      <w:r w:rsidRPr="003C387A">
        <w:rPr>
          <w:u w:val="single"/>
        </w:rPr>
        <w:t xml:space="preserve"> sea cual sea el estado de recuperación (por ej. movilidad).</w:t>
      </w:r>
      <w:r>
        <w:t xml:space="preserve"> Se debe continuar la profilaxis hasta que el paciente no tenga una movilidad reducida significativa. </w:t>
      </w:r>
    </w:p>
    <w:p w:rsidR="00363605" w:rsidRDefault="00363605" w:rsidP="00363605">
      <w:pPr>
        <w:pStyle w:val="Prrafodelista"/>
        <w:ind w:left="1440"/>
        <w:jc w:val="both"/>
      </w:pPr>
    </w:p>
    <w:p w:rsidR="00E73FB0" w:rsidRDefault="00363605" w:rsidP="00D90679">
      <w:pPr>
        <w:pStyle w:val="Prrafodelista"/>
        <w:numPr>
          <w:ilvl w:val="0"/>
          <w:numId w:val="2"/>
        </w:numPr>
        <w:jc w:val="both"/>
      </w:pPr>
      <w:r>
        <w:t xml:space="preserve">En pacientes </w:t>
      </w:r>
      <w:r w:rsidRPr="00E73FB0">
        <w:rPr>
          <w:b/>
        </w:rPr>
        <w:t>con alto riesgo de tromboembolismo</w:t>
      </w:r>
      <w:r>
        <w:t>, la posología recomendada de</w:t>
      </w:r>
      <w:r w:rsidR="0043048F">
        <w:t xml:space="preserve"> nadroparina cálcica </w:t>
      </w:r>
      <w:r>
        <w:t>es de</w:t>
      </w:r>
      <w:r w:rsidR="00E73FB0">
        <w:t xml:space="preserve"> </w:t>
      </w:r>
      <w:r w:rsidR="00E73FB0" w:rsidRPr="00E73FB0">
        <w:rPr>
          <w:b/>
        </w:rPr>
        <w:t>38</w:t>
      </w:r>
      <w:r w:rsidRPr="00E73FB0">
        <w:rPr>
          <w:b/>
        </w:rPr>
        <w:t xml:space="preserve"> UI</w:t>
      </w:r>
      <w:r w:rsidR="00E73FB0" w:rsidRPr="00E73FB0">
        <w:rPr>
          <w:b/>
        </w:rPr>
        <w:t xml:space="preserve"> Axa/kg en el preoperatorio y de 57 UI Axa/kg en el postoperatorio, siempre </w:t>
      </w:r>
      <w:r w:rsidRPr="00E73FB0">
        <w:rPr>
          <w:b/>
        </w:rPr>
        <w:t>administrada una vez al día vía SC,</w:t>
      </w:r>
      <w:r>
        <w:t xml:space="preserve"> administrando preferiblemente la primera inyección 12 horas antes de la intervención. </w:t>
      </w:r>
    </w:p>
    <w:p w:rsidR="00363605" w:rsidRDefault="00363605" w:rsidP="005A466E">
      <w:pPr>
        <w:pStyle w:val="Prrafodelista"/>
        <w:numPr>
          <w:ilvl w:val="0"/>
          <w:numId w:val="3"/>
        </w:numPr>
        <w:jc w:val="both"/>
      </w:pPr>
      <w:r>
        <w:t xml:space="preserve">Se recomienda prolongar la tromboprofilaxis </w:t>
      </w:r>
      <w:r w:rsidRPr="003C387A">
        <w:rPr>
          <w:b/>
        </w:rPr>
        <w:t>hasta 5 semanas en pacientes que se van a someter a cirugía ortopédica mayo</w:t>
      </w:r>
      <w:r>
        <w:t xml:space="preserve">r. </w:t>
      </w:r>
    </w:p>
    <w:p w:rsidR="00363605" w:rsidRDefault="00363605" w:rsidP="005A466E">
      <w:pPr>
        <w:pStyle w:val="Prrafodelista"/>
        <w:numPr>
          <w:ilvl w:val="0"/>
          <w:numId w:val="3"/>
        </w:numPr>
        <w:jc w:val="both"/>
      </w:pPr>
      <w:r>
        <w:t xml:space="preserve">Se recomienda prolongar la profilaxis </w:t>
      </w:r>
      <w:r w:rsidRPr="003C387A">
        <w:rPr>
          <w:b/>
        </w:rPr>
        <w:t>hasta 4 semanas en pacientes con un alto riesgo de tromboembolismo venoso (TEV) que se van a someter a cirugía oncológica abdominal o pélvica.</w:t>
      </w:r>
    </w:p>
    <w:p w:rsidR="00363605" w:rsidRPr="00961931" w:rsidRDefault="00363605" w:rsidP="00363605">
      <w:pPr>
        <w:pStyle w:val="Prrafodelista"/>
        <w:jc w:val="both"/>
      </w:pPr>
    </w:p>
    <w:p w:rsidR="00363605" w:rsidRPr="00E00039" w:rsidRDefault="00363605" w:rsidP="00363605">
      <w:pPr>
        <w:pStyle w:val="Prrafodelista"/>
        <w:numPr>
          <w:ilvl w:val="0"/>
          <w:numId w:val="1"/>
        </w:numPr>
        <w:jc w:val="both"/>
      </w:pPr>
      <w:r w:rsidRPr="00E00039">
        <w:rPr>
          <w:b/>
        </w:rPr>
        <w:t>Profilaxis del tromboembolismo venoso en pacientes médicos</w:t>
      </w:r>
      <w:r>
        <w:t xml:space="preserve"> La dosis recomendada de enoxaparina sódica es de </w:t>
      </w:r>
      <w:r w:rsidR="0043048F" w:rsidRPr="00363605">
        <w:rPr>
          <w:b/>
        </w:rPr>
        <w:t>2.850</w:t>
      </w:r>
      <w:r w:rsidR="0043048F" w:rsidRPr="009548BF">
        <w:rPr>
          <w:b/>
        </w:rPr>
        <w:t xml:space="preserve"> UI</w:t>
      </w:r>
      <w:r w:rsidR="0043048F">
        <w:rPr>
          <w:b/>
        </w:rPr>
        <w:t xml:space="preserve"> AXa</w:t>
      </w:r>
      <w:r w:rsidR="0043048F" w:rsidRPr="009548BF">
        <w:rPr>
          <w:b/>
        </w:rPr>
        <w:t xml:space="preserve"> (</w:t>
      </w:r>
      <w:r w:rsidR="0043048F">
        <w:rPr>
          <w:b/>
        </w:rPr>
        <w:t>0,3ml</w:t>
      </w:r>
      <w:r w:rsidR="0043048F" w:rsidRPr="009548BF">
        <w:rPr>
          <w:b/>
        </w:rPr>
        <w:t xml:space="preserve">) </w:t>
      </w:r>
      <w:r w:rsidR="0043048F" w:rsidRPr="00E00039">
        <w:rPr>
          <w:b/>
        </w:rPr>
        <w:t>una</w:t>
      </w:r>
      <w:r w:rsidRPr="00E00039">
        <w:rPr>
          <w:b/>
        </w:rPr>
        <w:t xml:space="preserve"> vez al día vía SC.</w:t>
      </w:r>
      <w:r>
        <w:t xml:space="preserve"> El tratamiento con enoxaparina sódica se prescribirá durante al menos de </w:t>
      </w:r>
      <w:r w:rsidRPr="00E00039">
        <w:rPr>
          <w:b/>
        </w:rPr>
        <w:t>6 a 14 días</w:t>
      </w:r>
      <w:r>
        <w:t xml:space="preserve"> sea cual sea el estado de recuperación (por ej. movilidad). </w:t>
      </w:r>
      <w:r w:rsidRPr="00E00039">
        <w:rPr>
          <w:u w:val="single"/>
        </w:rPr>
        <w:t xml:space="preserve">No se ha establecido el beneficio para un tratamiento mayor de 14 días. </w:t>
      </w:r>
    </w:p>
    <w:p w:rsidR="00363605" w:rsidRPr="00E00039" w:rsidRDefault="00363605" w:rsidP="00363605">
      <w:pPr>
        <w:pStyle w:val="Prrafodelista"/>
        <w:jc w:val="both"/>
      </w:pPr>
    </w:p>
    <w:p w:rsidR="00363605" w:rsidRDefault="00363605" w:rsidP="00D90679">
      <w:pPr>
        <w:pStyle w:val="Prrafodelista"/>
        <w:numPr>
          <w:ilvl w:val="0"/>
          <w:numId w:val="1"/>
        </w:numPr>
        <w:jc w:val="both"/>
      </w:pPr>
      <w:r w:rsidRPr="004719F0">
        <w:rPr>
          <w:b/>
        </w:rPr>
        <w:t>Tratamiento de la trombosis venosa profunda (TVP) y el tromboembolismo pulmonar (TEP)</w:t>
      </w:r>
      <w:r w:rsidR="0043048F">
        <w:t xml:space="preserve">. </w:t>
      </w:r>
      <w:r>
        <w:t xml:space="preserve">El médico deberá seleccionar la pauta posológica basándose en una evaluación individual del riesgo tromboembólico y del riesgo de sangrado. La pauta posológica de </w:t>
      </w:r>
      <w:r w:rsidR="0043048F" w:rsidRPr="004719F0">
        <w:rPr>
          <w:b/>
        </w:rPr>
        <w:t>85</w:t>
      </w:r>
      <w:r w:rsidRPr="004719F0">
        <w:rPr>
          <w:b/>
        </w:rPr>
        <w:t xml:space="preserve"> UI</w:t>
      </w:r>
      <w:r w:rsidR="0043048F" w:rsidRPr="004719F0">
        <w:rPr>
          <w:b/>
        </w:rPr>
        <w:t xml:space="preserve"> AXa</w:t>
      </w:r>
      <w:r w:rsidRPr="004719F0">
        <w:rPr>
          <w:b/>
        </w:rPr>
        <w:t>/kg</w:t>
      </w:r>
      <w:r w:rsidR="0043048F">
        <w:t xml:space="preserve"> </w:t>
      </w:r>
      <w:r>
        <w:t>administrada una vez al día se debería utilizar en pacientes no complicados con riesgo bajo de recurrencia de TEV. El tratamiento con</w:t>
      </w:r>
      <w:r w:rsidR="004719F0">
        <w:t xml:space="preserve"> nadroparina cálcica</w:t>
      </w:r>
      <w:r>
        <w:t xml:space="preserve"> se prescribe para un </w:t>
      </w:r>
      <w:r w:rsidRPr="004719F0">
        <w:rPr>
          <w:b/>
        </w:rPr>
        <w:t>período medio de 10 días.</w:t>
      </w:r>
      <w:r>
        <w:t xml:space="preserve"> Se debe iniciar el tratamiento anticoagulante por vía oral cuando sea apropiado </w:t>
      </w:r>
    </w:p>
    <w:p w:rsidR="00121B78" w:rsidRPr="00121B78" w:rsidRDefault="00363605" w:rsidP="00D90679">
      <w:pPr>
        <w:pStyle w:val="Prrafodelista"/>
        <w:numPr>
          <w:ilvl w:val="0"/>
          <w:numId w:val="1"/>
        </w:numPr>
        <w:jc w:val="both"/>
        <w:rPr>
          <w:b/>
          <w:i/>
          <w:color w:val="00B050"/>
        </w:rPr>
      </w:pPr>
      <w:r w:rsidRPr="00121B78">
        <w:rPr>
          <w:b/>
        </w:rPr>
        <w:t xml:space="preserve">Prevención de la formación de coágulos durante la hemodiálisis. </w:t>
      </w:r>
      <w:r>
        <w:t xml:space="preserve">La dosis recomendada es de </w:t>
      </w:r>
      <w:r w:rsidR="000F01BE" w:rsidRPr="00121B78">
        <w:rPr>
          <w:b/>
        </w:rPr>
        <w:t>65</w:t>
      </w:r>
      <w:r w:rsidRPr="00121B78">
        <w:rPr>
          <w:b/>
        </w:rPr>
        <w:t xml:space="preserve"> UI</w:t>
      </w:r>
      <w:r w:rsidR="000F01BE" w:rsidRPr="00121B78">
        <w:rPr>
          <w:b/>
        </w:rPr>
        <w:t xml:space="preserve"> AXa</w:t>
      </w:r>
      <w:r w:rsidRPr="00121B78">
        <w:rPr>
          <w:b/>
        </w:rPr>
        <w:t xml:space="preserve">/kg de </w:t>
      </w:r>
      <w:r w:rsidR="000F01BE" w:rsidRPr="00121B78">
        <w:rPr>
          <w:b/>
        </w:rPr>
        <w:t>nadroparina</w:t>
      </w:r>
      <w:r w:rsidRPr="00121B78">
        <w:rPr>
          <w:b/>
        </w:rPr>
        <w:t xml:space="preserve"> sódica</w:t>
      </w:r>
      <w:r>
        <w:t xml:space="preserve">. </w:t>
      </w:r>
    </w:p>
    <w:p w:rsidR="006D331D" w:rsidRDefault="006D331D" w:rsidP="006D331D">
      <w:pPr>
        <w:pStyle w:val="Prrafodelista"/>
      </w:pPr>
      <w:r w:rsidRPr="00B44D33">
        <w:rPr>
          <w:u w:val="single"/>
        </w:rPr>
        <w:t>Dosis:</w:t>
      </w:r>
      <w:r w:rsidRPr="00B44D33">
        <w:t xml:space="preserve"> variable según </w:t>
      </w:r>
      <w:r>
        <w:t xml:space="preserve">detalle y condición definida en cada INDICACION arriba. </w:t>
      </w:r>
    </w:p>
    <w:p w:rsidR="00E63186" w:rsidRPr="00C144EE" w:rsidRDefault="00E63186" w:rsidP="00E63186">
      <w:pPr>
        <w:tabs>
          <w:tab w:val="left" w:pos="5190"/>
        </w:tabs>
        <w:jc w:val="both"/>
        <w:rPr>
          <w:b/>
          <w:i/>
          <w:color w:val="00B050"/>
          <w:lang w:val="pt-BR"/>
        </w:rPr>
      </w:pPr>
      <w:r w:rsidRPr="00C144EE">
        <w:rPr>
          <w:b/>
          <w:i/>
          <w:color w:val="00B050"/>
          <w:lang w:val="pt-BR"/>
        </w:rPr>
        <w:t>B01AC</w:t>
      </w:r>
      <w:r>
        <w:rPr>
          <w:b/>
          <w:i/>
          <w:color w:val="00B050"/>
          <w:lang w:val="pt-BR"/>
        </w:rPr>
        <w:t xml:space="preserve"> </w:t>
      </w:r>
      <w:r w:rsidRPr="00C144EE">
        <w:rPr>
          <w:b/>
          <w:i/>
          <w:color w:val="00B050"/>
          <w:lang w:val="pt-BR"/>
        </w:rPr>
        <w:t xml:space="preserve">INHIBIDORES DE LA AGREGACION PLAQUETARIA EXCLUYENDO </w:t>
      </w:r>
      <w:r>
        <w:rPr>
          <w:b/>
          <w:i/>
          <w:color w:val="00B050"/>
          <w:lang w:val="pt-BR"/>
        </w:rPr>
        <w:t>HEPARINAS</w:t>
      </w:r>
    </w:p>
    <w:p w:rsidR="00E63186" w:rsidRPr="003C66D0" w:rsidRDefault="00E63186" w:rsidP="00E63186">
      <w:pPr>
        <w:tabs>
          <w:tab w:val="left" w:pos="1161"/>
        </w:tabs>
        <w:ind w:left="50"/>
        <w:rPr>
          <w:rFonts w:cs="Arial"/>
          <w:b/>
          <w:i/>
          <w:color w:val="00B050"/>
        </w:rPr>
      </w:pPr>
      <w:r w:rsidRPr="003C66D0">
        <w:rPr>
          <w:rFonts w:cs="Arial"/>
          <w:b/>
          <w:i/>
          <w:color w:val="00B050"/>
        </w:rPr>
        <w:t>B01AC</w:t>
      </w:r>
      <w:r w:rsidRPr="003C66D0">
        <w:rPr>
          <w:rFonts w:cs="Arial"/>
          <w:b/>
          <w:i/>
          <w:color w:val="00B050"/>
        </w:rPr>
        <w:tab/>
        <w:t>INHIBIDORES DE LA AGREGACION PLAQUETARIA EXCLUYENDO              HEPARINAS</w:t>
      </w:r>
    </w:p>
    <w:p w:rsidR="00E63186" w:rsidRPr="003C66D0" w:rsidRDefault="00E63186" w:rsidP="00E63186">
      <w:pPr>
        <w:tabs>
          <w:tab w:val="left" w:pos="1161"/>
        </w:tabs>
        <w:ind w:left="50"/>
        <w:rPr>
          <w:rFonts w:cs="Arial"/>
          <w:b/>
          <w:i/>
          <w:color w:val="00B050"/>
        </w:rPr>
      </w:pPr>
      <w:r w:rsidRPr="003C66D0">
        <w:rPr>
          <w:rFonts w:cs="Arial"/>
          <w:b/>
          <w:i/>
          <w:color w:val="00B050"/>
        </w:rPr>
        <w:t>B01AC04</w:t>
      </w:r>
      <w:r w:rsidRPr="003C66D0">
        <w:rPr>
          <w:rFonts w:cs="Arial"/>
          <w:b/>
          <w:i/>
          <w:color w:val="00B050"/>
        </w:rPr>
        <w:tab/>
        <w:t xml:space="preserve">CLOPIDOGREL   </w:t>
      </w:r>
    </w:p>
    <w:p w:rsidR="00E63186" w:rsidRPr="003C66D0" w:rsidRDefault="00E63186" w:rsidP="00396EBC">
      <w:pPr>
        <w:numPr>
          <w:ilvl w:val="0"/>
          <w:numId w:val="73"/>
        </w:numPr>
        <w:spacing w:after="0" w:line="240" w:lineRule="auto"/>
        <w:jc w:val="both"/>
        <w:rPr>
          <w:rFonts w:cs="Arial"/>
        </w:rPr>
      </w:pPr>
      <w:r w:rsidRPr="003C66D0">
        <w:rPr>
          <w:rFonts w:cs="Arial"/>
        </w:rPr>
        <w:t xml:space="preserve">Fármaco de alternativa en pacientes alérgicos a la aspirina  con indicación de tratamiento </w:t>
      </w:r>
      <w:proofErr w:type="spellStart"/>
      <w:r w:rsidRPr="003C66D0">
        <w:rPr>
          <w:rFonts w:cs="Arial"/>
        </w:rPr>
        <w:t>antiagregante</w:t>
      </w:r>
      <w:proofErr w:type="spellEnd"/>
      <w:r w:rsidRPr="003C66D0">
        <w:rPr>
          <w:rFonts w:cs="Arial"/>
        </w:rPr>
        <w:t xml:space="preserve"> en prevención secundaria (IAM o ACV reciente por su menor chance de inducir neutropenia en relación a </w:t>
      </w:r>
      <w:proofErr w:type="spellStart"/>
      <w:r w:rsidRPr="003C66D0">
        <w:rPr>
          <w:rFonts w:cs="Arial"/>
        </w:rPr>
        <w:t>ticlopidina</w:t>
      </w:r>
      <w:proofErr w:type="spellEnd"/>
      <w:r w:rsidRPr="003C66D0">
        <w:rPr>
          <w:rFonts w:cs="Arial"/>
        </w:rPr>
        <w:t xml:space="preserve"> (tercera opción). Dosis: 75 mg/día por vía oral.</w:t>
      </w:r>
    </w:p>
    <w:p w:rsidR="00E63186" w:rsidRPr="003C66D0" w:rsidRDefault="00E63186" w:rsidP="00396EBC">
      <w:pPr>
        <w:numPr>
          <w:ilvl w:val="0"/>
          <w:numId w:val="73"/>
        </w:numPr>
        <w:spacing w:after="0" w:line="240" w:lineRule="auto"/>
        <w:jc w:val="both"/>
        <w:rPr>
          <w:rFonts w:cs="Arial"/>
        </w:rPr>
      </w:pPr>
      <w:r w:rsidRPr="003C66D0">
        <w:rPr>
          <w:rFonts w:cs="Arial"/>
        </w:rPr>
        <w:t xml:space="preserve">Tratamiento de elección de la angina inestable asociada a AAS. Dosis: 300 mg/día a la </w:t>
      </w:r>
      <w:proofErr w:type="spellStart"/>
      <w:r w:rsidRPr="003C66D0">
        <w:rPr>
          <w:rFonts w:cs="Arial"/>
        </w:rPr>
        <w:t>externación</w:t>
      </w:r>
      <w:proofErr w:type="spellEnd"/>
      <w:r w:rsidRPr="003C66D0">
        <w:rPr>
          <w:rFonts w:cs="Arial"/>
        </w:rPr>
        <w:t>; mantenimiento 75-150 mg/día por vía oral.</w:t>
      </w:r>
    </w:p>
    <w:p w:rsidR="00E63186" w:rsidRPr="003C66D0" w:rsidRDefault="00E63186" w:rsidP="00396EBC">
      <w:pPr>
        <w:numPr>
          <w:ilvl w:val="0"/>
          <w:numId w:val="73"/>
        </w:numPr>
        <w:spacing w:after="0" w:line="240" w:lineRule="auto"/>
        <w:jc w:val="both"/>
        <w:rPr>
          <w:rFonts w:cs="Arial"/>
        </w:rPr>
      </w:pPr>
      <w:r w:rsidRPr="003C66D0">
        <w:rPr>
          <w:rFonts w:cs="Arial"/>
        </w:rPr>
        <w:t xml:space="preserve">Fármaco asociado a AAS en pacientes con enfermedad arterial establecida con posterioridad a la colocación de prótesis </w:t>
      </w:r>
      <w:proofErr w:type="spellStart"/>
      <w:r w:rsidRPr="003C66D0">
        <w:rPr>
          <w:rFonts w:cs="Arial"/>
        </w:rPr>
        <w:t>endovasculares</w:t>
      </w:r>
      <w:proofErr w:type="spellEnd"/>
      <w:r w:rsidRPr="003C66D0">
        <w:rPr>
          <w:rFonts w:cs="Arial"/>
        </w:rPr>
        <w:t xml:space="preserve"> (</w:t>
      </w:r>
      <w:proofErr w:type="spellStart"/>
      <w:r w:rsidRPr="003C66D0">
        <w:rPr>
          <w:rFonts w:cs="Arial"/>
        </w:rPr>
        <w:t>stent</w:t>
      </w:r>
      <w:proofErr w:type="spellEnd"/>
      <w:r w:rsidRPr="003C66D0">
        <w:rPr>
          <w:rFonts w:cs="Arial"/>
        </w:rPr>
        <w:t>) y recanalización quirúrgica o cirugía de revascularización. Dosis: 75 mg/día por vía oral.</w:t>
      </w:r>
    </w:p>
    <w:p w:rsidR="00E63186" w:rsidRPr="00B1108B" w:rsidRDefault="00E63186" w:rsidP="00E63186">
      <w:pPr>
        <w:tabs>
          <w:tab w:val="left" w:pos="1161"/>
        </w:tabs>
        <w:ind w:left="50"/>
        <w:rPr>
          <w:rFonts w:ascii="Verdana" w:hAnsi="Verdana" w:cs="Arial"/>
        </w:rPr>
      </w:pPr>
    </w:p>
    <w:p w:rsidR="00E63186" w:rsidRPr="00C144EE" w:rsidRDefault="00E63186" w:rsidP="00E63186">
      <w:pPr>
        <w:tabs>
          <w:tab w:val="left" w:pos="5190"/>
        </w:tabs>
        <w:jc w:val="both"/>
        <w:rPr>
          <w:b/>
          <w:i/>
          <w:color w:val="00B050"/>
          <w:lang w:val="pt-BR"/>
        </w:rPr>
      </w:pPr>
      <w:r w:rsidRPr="00C144EE">
        <w:rPr>
          <w:b/>
          <w:i/>
          <w:color w:val="00B050"/>
          <w:lang w:val="pt-BR"/>
        </w:rPr>
        <w:lastRenderedPageBreak/>
        <w:t>B01AC06</w:t>
      </w:r>
      <w:r>
        <w:rPr>
          <w:b/>
          <w:i/>
          <w:color w:val="00B050"/>
          <w:lang w:val="pt-BR"/>
        </w:rPr>
        <w:t xml:space="preserve"> </w:t>
      </w:r>
      <w:r w:rsidRPr="00C144EE">
        <w:rPr>
          <w:b/>
          <w:i/>
          <w:color w:val="00B050"/>
          <w:lang w:val="pt-BR"/>
        </w:rPr>
        <w:t xml:space="preserve">ACIDO ACETILSALICILICO (100-325 </w:t>
      </w:r>
      <w:proofErr w:type="gramStart"/>
      <w:r w:rsidRPr="00C144EE">
        <w:rPr>
          <w:b/>
          <w:i/>
          <w:color w:val="00B050"/>
          <w:lang w:val="pt-BR"/>
        </w:rPr>
        <w:t>mg</w:t>
      </w:r>
      <w:proofErr w:type="gramEnd"/>
      <w:r w:rsidRPr="00C144EE">
        <w:rPr>
          <w:b/>
          <w:i/>
          <w:color w:val="00B050"/>
          <w:lang w:val="pt-BR"/>
        </w:rPr>
        <w:t xml:space="preserve">) </w:t>
      </w:r>
    </w:p>
    <w:p w:rsidR="00E63186" w:rsidRPr="00C144EE" w:rsidRDefault="00E63186" w:rsidP="00396EBC">
      <w:pPr>
        <w:numPr>
          <w:ilvl w:val="0"/>
          <w:numId w:val="20"/>
        </w:numPr>
        <w:spacing w:after="0" w:line="240" w:lineRule="auto"/>
        <w:jc w:val="both"/>
        <w:rPr>
          <w:snapToGrid w:val="0"/>
        </w:rPr>
      </w:pPr>
      <w:proofErr w:type="spellStart"/>
      <w:r w:rsidRPr="00C144EE">
        <w:rPr>
          <w:snapToGrid w:val="0"/>
        </w:rPr>
        <w:t>Antiagregante</w:t>
      </w:r>
      <w:proofErr w:type="spellEnd"/>
      <w:r w:rsidRPr="00C144EE">
        <w:rPr>
          <w:snapToGrid w:val="0"/>
        </w:rPr>
        <w:t xml:space="preserve"> de elección para la prevención secundaria de IAM y ACV con formas farmacéuticas de dosis bajas (100 mg / dosis y 325 mg / dosis) que son las que cuentan con ECC y </w:t>
      </w:r>
      <w:proofErr w:type="spellStart"/>
      <w:r w:rsidRPr="00C144EE">
        <w:rPr>
          <w:snapToGrid w:val="0"/>
        </w:rPr>
        <w:t>metanálisis</w:t>
      </w:r>
      <w:proofErr w:type="spellEnd"/>
      <w:r w:rsidRPr="00C144EE">
        <w:rPr>
          <w:snapToGrid w:val="0"/>
        </w:rPr>
        <w:t xml:space="preserve"> que demuestran beneficios y una relación costo efectiva adecuada, para este objetivo terapéutico.</w:t>
      </w:r>
    </w:p>
    <w:p w:rsidR="00E63186" w:rsidRPr="00C144EE" w:rsidRDefault="00E63186" w:rsidP="00396EBC">
      <w:pPr>
        <w:numPr>
          <w:ilvl w:val="0"/>
          <w:numId w:val="20"/>
        </w:numPr>
        <w:spacing w:after="0" w:line="240" w:lineRule="auto"/>
        <w:jc w:val="both"/>
        <w:rPr>
          <w:snapToGrid w:val="0"/>
        </w:rPr>
      </w:pPr>
      <w:r w:rsidRPr="00C144EE">
        <w:rPr>
          <w:snapToGrid w:val="0"/>
        </w:rPr>
        <w:t xml:space="preserve">Su uso en prevención primaria en pacientes de alto riesgo CV, y  en diabéticos, se encuentra en discusión. Un reciente </w:t>
      </w:r>
      <w:proofErr w:type="spellStart"/>
      <w:r w:rsidRPr="00C144EE">
        <w:rPr>
          <w:snapToGrid w:val="0"/>
        </w:rPr>
        <w:t>metanálisis</w:t>
      </w:r>
      <w:proofErr w:type="spellEnd"/>
      <w:r w:rsidRPr="00C144EE">
        <w:rPr>
          <w:snapToGrid w:val="0"/>
        </w:rPr>
        <w:t xml:space="preserve"> de 6 ensayos clínicos con 95.000 pacientes, mostró que </w:t>
      </w:r>
      <w:r w:rsidRPr="00C144EE">
        <w:t xml:space="preserve">el beneficio de la aspirina era inferior al riesgo de sufrir algún evento adverso importante, especialmente las hemorragias. Mientras el riesgo relativo de padecer el primer infarto se reducía en un 18% para los que consumían aspirina como prevención primaria respecto de los controles, también aumentaba el riesgo de hemorragias </w:t>
      </w:r>
      <w:proofErr w:type="spellStart"/>
      <w:r w:rsidRPr="00C144EE">
        <w:t>extracraneales</w:t>
      </w:r>
      <w:proofErr w:type="spellEnd"/>
      <w:r w:rsidRPr="00C144EE">
        <w:t xml:space="preserve"> en un 54%. Estos datos desaconsejan el uso sistemático con dicha finalidad, incluso en pacientes diabéticos, y se están por adoptar </w:t>
      </w:r>
      <w:proofErr w:type="spellStart"/>
      <w:r w:rsidRPr="00C144EE">
        <w:t>medias</w:t>
      </w:r>
      <w:proofErr w:type="spellEnd"/>
      <w:r w:rsidRPr="00C144EE">
        <w:t xml:space="preserve"> regulatorias en dicho sentido, en países de referencia sanitaria. </w:t>
      </w:r>
    </w:p>
    <w:p w:rsidR="00E63186" w:rsidRDefault="00E63186" w:rsidP="00396EBC">
      <w:pPr>
        <w:numPr>
          <w:ilvl w:val="0"/>
          <w:numId w:val="20"/>
        </w:numPr>
        <w:spacing w:after="0" w:line="240" w:lineRule="auto"/>
        <w:jc w:val="both"/>
        <w:rPr>
          <w:snapToGrid w:val="0"/>
        </w:rPr>
      </w:pPr>
      <w:r w:rsidRPr="00C144EE">
        <w:rPr>
          <w:snapToGrid w:val="0"/>
        </w:rPr>
        <w:t xml:space="preserve">Asociado a </w:t>
      </w:r>
      <w:proofErr w:type="spellStart"/>
      <w:r w:rsidRPr="00C144EE">
        <w:rPr>
          <w:snapToGrid w:val="0"/>
        </w:rPr>
        <w:t>clopidogrel</w:t>
      </w:r>
      <w:proofErr w:type="spellEnd"/>
      <w:r w:rsidRPr="00C144EE">
        <w:rPr>
          <w:snapToGrid w:val="0"/>
        </w:rPr>
        <w:t xml:space="preserve"> en pacientes con angina inestable con o sin antecedentes de cirugía de revascularización y/o </w:t>
      </w:r>
      <w:proofErr w:type="spellStart"/>
      <w:r w:rsidRPr="00C144EE">
        <w:rPr>
          <w:snapToGrid w:val="0"/>
        </w:rPr>
        <w:t>angioplastía</w:t>
      </w:r>
      <w:proofErr w:type="spellEnd"/>
      <w:r w:rsidRPr="00C144EE">
        <w:rPr>
          <w:snapToGrid w:val="0"/>
        </w:rPr>
        <w:t xml:space="preserve"> coronaria</w:t>
      </w:r>
    </w:p>
    <w:p w:rsidR="00E63186" w:rsidRDefault="00E63186" w:rsidP="00E63186">
      <w:pPr>
        <w:tabs>
          <w:tab w:val="left" w:pos="5190"/>
        </w:tabs>
        <w:jc w:val="both"/>
        <w:rPr>
          <w:snapToGrid w:val="0"/>
        </w:rPr>
      </w:pPr>
    </w:p>
    <w:p w:rsidR="005242C3" w:rsidRDefault="005242C3" w:rsidP="006D331D">
      <w:pPr>
        <w:pStyle w:val="Prrafodelista"/>
      </w:pPr>
    </w:p>
    <w:p w:rsidR="008D230A" w:rsidRPr="001840D6" w:rsidRDefault="005242C3" w:rsidP="004561B5">
      <w:pPr>
        <w:tabs>
          <w:tab w:val="left" w:pos="5190"/>
        </w:tabs>
        <w:jc w:val="both"/>
        <w:rPr>
          <w:b/>
          <w:i/>
          <w:color w:val="00B050"/>
        </w:rPr>
      </w:pPr>
      <w:r>
        <w:rPr>
          <w:b/>
          <w:i/>
          <w:color w:val="00B050"/>
        </w:rPr>
        <w:t>B01AE INHIBIDORES DIRECTOS DE LA TROMBINA</w:t>
      </w:r>
    </w:p>
    <w:p w:rsidR="004561B5" w:rsidRPr="00EA450E" w:rsidRDefault="004561B5" w:rsidP="004561B5">
      <w:pPr>
        <w:tabs>
          <w:tab w:val="left" w:pos="5190"/>
        </w:tabs>
        <w:jc w:val="both"/>
        <w:rPr>
          <w:b/>
          <w:i/>
          <w:color w:val="00B050"/>
          <w:lang w:val="pt-BR"/>
        </w:rPr>
      </w:pPr>
      <w:r w:rsidRPr="00DE4AD3">
        <w:rPr>
          <w:b/>
          <w:i/>
          <w:color w:val="00B050"/>
          <w:lang w:val="pt-BR"/>
        </w:rPr>
        <w:t>B01AE07</w:t>
      </w:r>
      <w:r w:rsidR="00BF00B2" w:rsidRPr="00DE4AD3">
        <w:rPr>
          <w:b/>
          <w:i/>
          <w:color w:val="00B050"/>
          <w:lang w:val="pt-BR"/>
        </w:rPr>
        <w:t xml:space="preserve"> DABIGATRAN</w:t>
      </w:r>
      <w:r w:rsidRPr="00DE4AD3">
        <w:rPr>
          <w:b/>
          <w:i/>
          <w:color w:val="00B050"/>
          <w:lang w:val="pt-BR"/>
        </w:rPr>
        <w:t xml:space="preserve"> EXETILATO</w:t>
      </w:r>
      <w:r>
        <w:rPr>
          <w:b/>
          <w:i/>
          <w:color w:val="00B050"/>
          <w:lang w:val="pt-BR"/>
        </w:rPr>
        <w:t xml:space="preserve"> </w:t>
      </w:r>
      <w:r w:rsidRPr="00EA450E">
        <w:rPr>
          <w:b/>
          <w:i/>
          <w:color w:val="00B050"/>
          <w:lang w:val="pt-BR"/>
        </w:rPr>
        <w:tab/>
      </w:r>
    </w:p>
    <w:p w:rsidR="004561B5" w:rsidRPr="00B44D33" w:rsidRDefault="004561B5" w:rsidP="004561B5">
      <w:pPr>
        <w:pStyle w:val="Prrafodelista"/>
        <w:numPr>
          <w:ilvl w:val="0"/>
          <w:numId w:val="1"/>
        </w:numPr>
        <w:jc w:val="both"/>
      </w:pPr>
      <w:r w:rsidRPr="00B44D33">
        <w:t xml:space="preserve">Tratamiento </w:t>
      </w:r>
      <w:r>
        <w:t>anticoagulante de la Fibrilación auricular no valvular</w:t>
      </w:r>
      <w:r w:rsidRPr="00B44D33">
        <w:t>.</w:t>
      </w:r>
    </w:p>
    <w:p w:rsidR="004561B5" w:rsidRDefault="004561B5" w:rsidP="004561B5">
      <w:pPr>
        <w:pStyle w:val="Prrafodelista"/>
        <w:numPr>
          <w:ilvl w:val="0"/>
          <w:numId w:val="1"/>
        </w:numPr>
        <w:jc w:val="both"/>
      </w:pPr>
      <w:r>
        <w:t xml:space="preserve">Prevención </w:t>
      </w:r>
      <w:r w:rsidR="0012336B">
        <w:t xml:space="preserve">primaria </w:t>
      </w:r>
      <w:r>
        <w:t xml:space="preserve">del tromboembolismo venoso tras artroplastia de rodilla o cadera. </w:t>
      </w:r>
    </w:p>
    <w:p w:rsidR="004561B5" w:rsidRDefault="004561B5" w:rsidP="004561B5">
      <w:pPr>
        <w:pStyle w:val="Prrafodelista"/>
        <w:jc w:val="both"/>
      </w:pPr>
      <w:r w:rsidRPr="00F61C2D">
        <w:rPr>
          <w:u w:val="single"/>
        </w:rPr>
        <w:t>Dosis:</w:t>
      </w:r>
      <w:r>
        <w:rPr>
          <w:u w:val="single"/>
        </w:rPr>
        <w:t xml:space="preserve"> </w:t>
      </w:r>
      <w:r>
        <w:t>La dosis recomendada de dabigatran es de 300 mg administrados en 1 cápsula de 150 mg dos veces al día. Los pacientes ≥80 años o con riesgo de hemorragia alto o que toman verapamilo, deben tratarse con una dosis diaria de 220 mg administrados en una cápsula de 110 mg dos veces al día, debido al mayor riesgo de hemorragia en esta población.</w:t>
      </w:r>
    </w:p>
    <w:tbl>
      <w:tblPr>
        <w:tblW w:w="6820" w:type="dxa"/>
        <w:tblInd w:w="55" w:type="dxa"/>
        <w:tblCellMar>
          <w:left w:w="70" w:type="dxa"/>
          <w:right w:w="70" w:type="dxa"/>
        </w:tblCellMar>
        <w:tblLook w:val="04A0" w:firstRow="1" w:lastRow="0" w:firstColumn="1" w:lastColumn="0" w:noHBand="0" w:noVBand="1"/>
      </w:tblPr>
      <w:tblGrid>
        <w:gridCol w:w="2380"/>
        <w:gridCol w:w="4440"/>
      </w:tblGrid>
      <w:tr w:rsidR="00C144EE" w:rsidRPr="00C144EE" w:rsidTr="00C144EE">
        <w:trPr>
          <w:trHeight w:val="300"/>
        </w:trPr>
        <w:tc>
          <w:tcPr>
            <w:tcW w:w="2380" w:type="dxa"/>
            <w:tcBorders>
              <w:top w:val="nil"/>
              <w:left w:val="nil"/>
              <w:bottom w:val="nil"/>
              <w:right w:val="nil"/>
            </w:tcBorders>
            <w:shd w:val="clear" w:color="auto" w:fill="auto"/>
            <w:noWrap/>
            <w:vAlign w:val="center"/>
            <w:hideMark/>
          </w:tcPr>
          <w:p w:rsidR="00C144EE" w:rsidRPr="00C144EE" w:rsidRDefault="00C144EE" w:rsidP="00C144EE">
            <w:pPr>
              <w:tabs>
                <w:tab w:val="left" w:pos="5190"/>
              </w:tabs>
              <w:jc w:val="both"/>
              <w:rPr>
                <w:b/>
                <w:i/>
                <w:color w:val="00B050"/>
                <w:lang w:val="pt-BR"/>
              </w:rPr>
            </w:pPr>
            <w:r w:rsidRPr="00C144EE">
              <w:rPr>
                <w:b/>
                <w:i/>
                <w:color w:val="00B050"/>
                <w:lang w:val="pt-BR"/>
              </w:rPr>
              <w:t>B01AF</w:t>
            </w:r>
          </w:p>
        </w:tc>
        <w:tc>
          <w:tcPr>
            <w:tcW w:w="4440" w:type="dxa"/>
            <w:tcBorders>
              <w:top w:val="nil"/>
              <w:left w:val="nil"/>
              <w:bottom w:val="nil"/>
              <w:right w:val="nil"/>
            </w:tcBorders>
            <w:shd w:val="clear" w:color="auto" w:fill="auto"/>
            <w:noWrap/>
            <w:vAlign w:val="center"/>
            <w:hideMark/>
          </w:tcPr>
          <w:p w:rsidR="00C144EE" w:rsidRPr="00C144EE" w:rsidRDefault="00C144EE" w:rsidP="00C144EE">
            <w:pPr>
              <w:tabs>
                <w:tab w:val="left" w:pos="5190"/>
              </w:tabs>
              <w:jc w:val="both"/>
              <w:rPr>
                <w:b/>
                <w:i/>
                <w:color w:val="00B050"/>
                <w:lang w:val="pt-BR"/>
              </w:rPr>
            </w:pPr>
            <w:r w:rsidRPr="00C144EE">
              <w:rPr>
                <w:b/>
                <w:i/>
                <w:color w:val="00B050"/>
                <w:lang w:val="pt-BR"/>
              </w:rPr>
              <w:t xml:space="preserve">INHIBIDORES DIRECTOS DEL FACTOR </w:t>
            </w:r>
            <w:proofErr w:type="spellStart"/>
            <w:r w:rsidRPr="00C144EE">
              <w:rPr>
                <w:b/>
                <w:i/>
                <w:color w:val="00B050"/>
                <w:lang w:val="pt-BR"/>
              </w:rPr>
              <w:t>Xa</w:t>
            </w:r>
            <w:proofErr w:type="spellEnd"/>
          </w:p>
        </w:tc>
      </w:tr>
    </w:tbl>
    <w:p w:rsidR="00C144EE" w:rsidRPr="00EA450E" w:rsidRDefault="00C144EE" w:rsidP="00C144EE">
      <w:pPr>
        <w:tabs>
          <w:tab w:val="left" w:pos="5190"/>
        </w:tabs>
        <w:jc w:val="both"/>
        <w:rPr>
          <w:b/>
          <w:i/>
          <w:color w:val="00B050"/>
          <w:lang w:val="pt-BR"/>
        </w:rPr>
      </w:pPr>
      <w:r w:rsidRPr="00C144EE">
        <w:rPr>
          <w:b/>
          <w:i/>
          <w:color w:val="00B050"/>
          <w:lang w:val="pt-BR"/>
        </w:rPr>
        <w:t>B01AF01 RIVAROXABAN</w:t>
      </w:r>
      <w:r>
        <w:rPr>
          <w:b/>
          <w:i/>
          <w:color w:val="00B050"/>
          <w:lang w:val="pt-BR"/>
        </w:rPr>
        <w:t xml:space="preserve"> </w:t>
      </w:r>
      <w:r w:rsidRPr="00EA450E">
        <w:rPr>
          <w:b/>
          <w:i/>
          <w:color w:val="00B050"/>
          <w:lang w:val="pt-BR"/>
        </w:rPr>
        <w:tab/>
      </w:r>
    </w:p>
    <w:p w:rsidR="00C144EE" w:rsidRPr="00B44D33" w:rsidRDefault="00C144EE" w:rsidP="00C144EE">
      <w:pPr>
        <w:pStyle w:val="Prrafodelista"/>
        <w:numPr>
          <w:ilvl w:val="0"/>
          <w:numId w:val="1"/>
        </w:numPr>
        <w:jc w:val="both"/>
      </w:pPr>
      <w:r w:rsidRPr="00B44D33">
        <w:t xml:space="preserve">Tratamiento </w:t>
      </w:r>
      <w:r>
        <w:t>anticoagulante de la Fibrilación auricular no valvular</w:t>
      </w:r>
      <w:r w:rsidRPr="00B44D33">
        <w:t>.</w:t>
      </w:r>
    </w:p>
    <w:p w:rsidR="00C144EE" w:rsidRDefault="00C144EE" w:rsidP="00C144EE">
      <w:pPr>
        <w:pStyle w:val="Prrafodelista"/>
        <w:numPr>
          <w:ilvl w:val="0"/>
          <w:numId w:val="1"/>
        </w:numPr>
        <w:jc w:val="both"/>
      </w:pPr>
      <w:r>
        <w:t xml:space="preserve">Prevención primaria del </w:t>
      </w:r>
      <w:proofErr w:type="spellStart"/>
      <w:r>
        <w:t>tromboembolismo</w:t>
      </w:r>
      <w:proofErr w:type="spellEnd"/>
      <w:r>
        <w:t xml:space="preserve"> venoso tras artroplastia de rodilla o cadera. </w:t>
      </w:r>
    </w:p>
    <w:p w:rsidR="00C144EE" w:rsidRDefault="00C144EE" w:rsidP="00C144EE">
      <w:pPr>
        <w:pStyle w:val="Prrafodelista"/>
        <w:jc w:val="both"/>
      </w:pPr>
      <w:r w:rsidRPr="00F61C2D">
        <w:rPr>
          <w:u w:val="single"/>
        </w:rPr>
        <w:t>Dosis</w:t>
      </w:r>
      <w:proofErr w:type="gramStart"/>
      <w:r w:rsidRPr="00F61C2D">
        <w:rPr>
          <w:u w:val="single"/>
        </w:rPr>
        <w:t>:</w:t>
      </w:r>
      <w:r>
        <w:rPr>
          <w:u w:val="single"/>
        </w:rPr>
        <w:t xml:space="preserve"> </w:t>
      </w:r>
      <w:r>
        <w:t xml:space="preserve"> La</w:t>
      </w:r>
      <w:proofErr w:type="gramEnd"/>
      <w:r>
        <w:t xml:space="preserve"> dosis recomendada de </w:t>
      </w:r>
      <w:proofErr w:type="spellStart"/>
      <w:r>
        <w:t>rivaroxaban</w:t>
      </w:r>
      <w:proofErr w:type="spellEnd"/>
      <w:r>
        <w:t xml:space="preserve"> es de 20 mg una vez al día, que es también la dosis máxima recomendada para esta indicación.</w:t>
      </w:r>
    </w:p>
    <w:p w:rsidR="00C144EE" w:rsidRDefault="00C144EE" w:rsidP="00C144EE">
      <w:pPr>
        <w:pStyle w:val="Prrafodelista"/>
        <w:jc w:val="both"/>
      </w:pPr>
      <w:r>
        <w:rPr>
          <w:u w:val="single"/>
        </w:rPr>
        <w:t>Duración del tratamiento en cirugía ortopédica</w:t>
      </w:r>
      <w:proofErr w:type="gramStart"/>
      <w:r>
        <w:rPr>
          <w:u w:val="single"/>
        </w:rPr>
        <w:t xml:space="preserve">:  </w:t>
      </w:r>
      <w:r w:rsidRPr="00B137B1">
        <w:rPr>
          <w:b/>
        </w:rPr>
        <w:t>a</w:t>
      </w:r>
      <w:proofErr w:type="gramEnd"/>
      <w:r w:rsidRPr="00B137B1">
        <w:rPr>
          <w:b/>
        </w:rPr>
        <w:t>) artroplastia de rodilla</w:t>
      </w:r>
      <w:r>
        <w:rPr>
          <w:u w:val="single"/>
        </w:rPr>
        <w:t xml:space="preserve"> </w:t>
      </w:r>
      <w:r w:rsidRPr="001B3733">
        <w:t>hasta</w:t>
      </w:r>
      <w:r w:rsidRPr="00C0359F">
        <w:t xml:space="preserve"> </w:t>
      </w:r>
      <w:r>
        <w:t xml:space="preserve">10 </w:t>
      </w:r>
      <w:r w:rsidRPr="00C0359F">
        <w:t>días</w:t>
      </w:r>
      <w:r>
        <w:t xml:space="preserve"> </w:t>
      </w:r>
      <w:r w:rsidRPr="00B137B1">
        <w:rPr>
          <w:b/>
        </w:rPr>
        <w:t>b) artroplastia de cadera</w:t>
      </w:r>
      <w:r>
        <w:rPr>
          <w:b/>
        </w:rPr>
        <w:t>:</w:t>
      </w:r>
      <w:r>
        <w:t xml:space="preserve"> 28-35 días. </w:t>
      </w:r>
    </w:p>
    <w:p w:rsidR="00C144EE" w:rsidRDefault="00C144EE" w:rsidP="00C144EE">
      <w:pPr>
        <w:pStyle w:val="Prrafodelista"/>
      </w:pPr>
    </w:p>
    <w:p w:rsidR="00C144EE" w:rsidRDefault="00C144EE" w:rsidP="004561B5">
      <w:pPr>
        <w:pStyle w:val="Prrafodelista"/>
        <w:jc w:val="both"/>
      </w:pPr>
    </w:p>
    <w:p w:rsidR="00C0359F" w:rsidRDefault="00C0359F" w:rsidP="004561B5">
      <w:pPr>
        <w:pStyle w:val="Prrafodelista"/>
        <w:jc w:val="both"/>
      </w:pPr>
      <w:r w:rsidRPr="001B3733">
        <w:rPr>
          <w:u w:val="single"/>
        </w:rPr>
        <w:t>Duración del tratamiento en cirugía ortopédica</w:t>
      </w:r>
      <w:r w:rsidR="001B3733" w:rsidRPr="001B3733">
        <w:t>:</w:t>
      </w:r>
      <w:r w:rsidR="001B3733" w:rsidRPr="00B137B1">
        <w:t xml:space="preserve"> </w:t>
      </w:r>
      <w:r w:rsidR="001B3733" w:rsidRPr="00B137B1">
        <w:rPr>
          <w:b/>
        </w:rPr>
        <w:t>a) artroplastia de rodilla</w:t>
      </w:r>
      <w:r w:rsidR="001B3733">
        <w:rPr>
          <w:u w:val="single"/>
        </w:rPr>
        <w:t xml:space="preserve"> </w:t>
      </w:r>
      <w:r w:rsidRPr="001B3733">
        <w:t>hasta</w:t>
      </w:r>
      <w:r w:rsidRPr="00C0359F">
        <w:t xml:space="preserve"> </w:t>
      </w:r>
      <w:r w:rsidR="001B3733">
        <w:t xml:space="preserve">10 </w:t>
      </w:r>
      <w:r w:rsidRPr="00C0359F">
        <w:t>días</w:t>
      </w:r>
      <w:r w:rsidR="001B3733">
        <w:t xml:space="preserve"> </w:t>
      </w:r>
      <w:r w:rsidR="001B3733" w:rsidRPr="00B137B1">
        <w:rPr>
          <w:b/>
        </w:rPr>
        <w:t>b) artroplastia de cadera</w:t>
      </w:r>
      <w:r w:rsidR="00B137B1">
        <w:rPr>
          <w:b/>
        </w:rPr>
        <w:t>:</w:t>
      </w:r>
      <w:r w:rsidR="00B137B1">
        <w:t xml:space="preserve"> 28-35 días. </w:t>
      </w:r>
    </w:p>
    <w:p w:rsidR="004561B5" w:rsidRDefault="004561B5" w:rsidP="004561B5">
      <w:pPr>
        <w:pStyle w:val="Prrafodelista"/>
      </w:pPr>
    </w:p>
    <w:p w:rsidR="00C144EE" w:rsidRDefault="00C144EE" w:rsidP="00C144EE">
      <w:pPr>
        <w:pStyle w:val="Prrafodelista"/>
        <w:jc w:val="both"/>
        <w:rPr>
          <w:u w:val="single"/>
        </w:rPr>
      </w:pPr>
    </w:p>
    <w:p w:rsidR="00C144EE" w:rsidRPr="00FA4AA1" w:rsidRDefault="00C144EE" w:rsidP="00C144EE">
      <w:pPr>
        <w:tabs>
          <w:tab w:val="left" w:pos="5190"/>
        </w:tabs>
        <w:jc w:val="both"/>
        <w:rPr>
          <w:b/>
          <w:i/>
          <w:color w:val="00B050"/>
        </w:rPr>
      </w:pPr>
      <w:r w:rsidRPr="00C144EE">
        <w:rPr>
          <w:b/>
          <w:i/>
          <w:color w:val="00B050"/>
          <w:lang w:val="pt-BR"/>
        </w:rPr>
        <w:lastRenderedPageBreak/>
        <w:t xml:space="preserve"> </w:t>
      </w:r>
      <w:r>
        <w:rPr>
          <w:b/>
          <w:i/>
          <w:color w:val="00B050"/>
          <w:lang w:val="pt-BR"/>
        </w:rPr>
        <w:t xml:space="preserve"> </w:t>
      </w:r>
      <w:r w:rsidRPr="00C144EE">
        <w:rPr>
          <w:b/>
          <w:i/>
          <w:color w:val="00B050"/>
        </w:rPr>
        <w:t>B03AC98 HIERRO TRIVALENTE PARA USO ENDOVENOSO</w:t>
      </w:r>
    </w:p>
    <w:p w:rsidR="00C144EE" w:rsidRDefault="00C144EE" w:rsidP="00C144EE">
      <w:pPr>
        <w:pStyle w:val="Prrafodelista"/>
        <w:numPr>
          <w:ilvl w:val="0"/>
          <w:numId w:val="8"/>
        </w:numPr>
        <w:jc w:val="both"/>
      </w:pPr>
      <w:r w:rsidRPr="00B44D33">
        <w:t xml:space="preserve">Tratamiento </w:t>
      </w:r>
      <w:r>
        <w:t>parenteral de las deficiencias de hierro en aquellos casos en que las preparaciones orales no resultan suficientemente eficaces o cuando su administración no es posible como en casos de intolerancia a las sales de hierro administradas por vía oral, en las enfermedades gastrointestinales inflamatorias (colitis ulcerosa), que pueden agravarse por el tratamiento oral con hierro, o en los estados de carencia refractaria al tratamiento cuando se sospecha un mal cumplimiento de la ingesta oral de las sales de hierro</w:t>
      </w:r>
    </w:p>
    <w:p w:rsidR="00C144EE" w:rsidRDefault="00C144EE" w:rsidP="00C144EE">
      <w:pPr>
        <w:pStyle w:val="Prrafodelista"/>
        <w:jc w:val="both"/>
        <w:rPr>
          <w:u w:val="single"/>
        </w:rPr>
      </w:pPr>
      <w:r w:rsidRPr="00F61C2D">
        <w:rPr>
          <w:u w:val="single"/>
        </w:rPr>
        <w:t>Dosis:</w:t>
      </w:r>
      <w:r w:rsidRPr="00B44D33">
        <w:t xml:space="preserve"> </w:t>
      </w:r>
      <w:r>
        <w:t xml:space="preserve">La dosis acumulada para la reposición de hierro utilizando la vía parenteral EV, se determina basándose en </w:t>
      </w:r>
      <w:r w:rsidRPr="00FA4AA1">
        <w:rPr>
          <w:u w:val="single"/>
        </w:rPr>
        <w:t>el peso corporal y el nivel de hemoglobina (</w:t>
      </w:r>
      <w:proofErr w:type="spellStart"/>
      <w:r w:rsidRPr="00FA4AA1">
        <w:rPr>
          <w:u w:val="single"/>
        </w:rPr>
        <w:t>Hb</w:t>
      </w:r>
      <w:proofErr w:type="spellEnd"/>
      <w:r w:rsidRPr="00FA4AA1">
        <w:rPr>
          <w:u w:val="single"/>
        </w:rPr>
        <w:t>) del paciente y no debe excederse</w:t>
      </w:r>
      <w:r>
        <w:rPr>
          <w:u w:val="single"/>
        </w:rPr>
        <w:t xml:space="preserve">. </w:t>
      </w:r>
    </w:p>
    <w:p w:rsidR="00E63186" w:rsidRDefault="00E63186" w:rsidP="00C144EE">
      <w:pPr>
        <w:pStyle w:val="Prrafodelista"/>
        <w:jc w:val="both"/>
        <w:rPr>
          <w:u w:val="single"/>
        </w:rPr>
      </w:pPr>
    </w:p>
    <w:p w:rsidR="00E63186" w:rsidRPr="00020C50" w:rsidRDefault="00E63186" w:rsidP="00E63186">
      <w:pPr>
        <w:tabs>
          <w:tab w:val="left" w:pos="1320"/>
        </w:tabs>
        <w:ind w:left="113"/>
        <w:rPr>
          <w:rFonts w:cs="Arial"/>
          <w:b/>
          <w:i/>
          <w:color w:val="00B050"/>
        </w:rPr>
      </w:pPr>
      <w:r w:rsidRPr="00020C50">
        <w:rPr>
          <w:rFonts w:cs="Arial"/>
          <w:b/>
          <w:i/>
          <w:color w:val="00B050"/>
        </w:rPr>
        <w:t>B03AD</w:t>
      </w:r>
      <w:r w:rsidRPr="00020C50">
        <w:rPr>
          <w:rFonts w:cs="Arial"/>
          <w:b/>
          <w:i/>
          <w:color w:val="00B050"/>
        </w:rPr>
        <w:tab/>
        <w:t>COMBINACIONES DE HIERRO CON ACIDO FOLICO</w:t>
      </w:r>
    </w:p>
    <w:p w:rsidR="00E63186" w:rsidRPr="00020C50" w:rsidRDefault="00E63186" w:rsidP="00E63186">
      <w:pPr>
        <w:tabs>
          <w:tab w:val="left" w:pos="1320"/>
        </w:tabs>
        <w:ind w:left="113"/>
        <w:rPr>
          <w:rFonts w:cs="Arial"/>
          <w:b/>
          <w:i/>
          <w:color w:val="00B050"/>
        </w:rPr>
      </w:pPr>
      <w:r w:rsidRPr="00020C50">
        <w:rPr>
          <w:rFonts w:cs="Arial"/>
          <w:b/>
          <w:i/>
          <w:color w:val="00B050"/>
        </w:rPr>
        <w:t>B03AD99</w:t>
      </w:r>
      <w:r w:rsidRPr="00020C50">
        <w:rPr>
          <w:rFonts w:cs="Arial"/>
          <w:b/>
          <w:i/>
          <w:color w:val="00B050"/>
        </w:rPr>
        <w:tab/>
        <w:t xml:space="preserve">HIERRO Y ACIDO FOLICO </w:t>
      </w:r>
    </w:p>
    <w:p w:rsidR="00E63186" w:rsidRPr="00020C50" w:rsidRDefault="00E63186" w:rsidP="00396EBC">
      <w:pPr>
        <w:numPr>
          <w:ilvl w:val="0"/>
          <w:numId w:val="21"/>
        </w:numPr>
        <w:spacing w:after="0" w:line="240" w:lineRule="auto"/>
        <w:jc w:val="both"/>
        <w:rPr>
          <w:snapToGrid w:val="0"/>
        </w:rPr>
      </w:pPr>
      <w:r w:rsidRPr="00020C50">
        <w:rPr>
          <w:snapToGrid w:val="0"/>
        </w:rPr>
        <w:t xml:space="preserve">Uso exclusivo en embarazo para prevención de deficiencia de hierro y ácido fólico. </w:t>
      </w:r>
    </w:p>
    <w:p w:rsidR="00E63186" w:rsidRPr="00020C50" w:rsidRDefault="00E63186" w:rsidP="00396EBC">
      <w:pPr>
        <w:numPr>
          <w:ilvl w:val="0"/>
          <w:numId w:val="21"/>
        </w:numPr>
        <w:spacing w:after="0" w:line="240" w:lineRule="auto"/>
        <w:jc w:val="both"/>
        <w:rPr>
          <w:snapToGrid w:val="0"/>
        </w:rPr>
      </w:pPr>
      <w:r w:rsidRPr="00020C50">
        <w:rPr>
          <w:snapToGrid w:val="0"/>
        </w:rPr>
        <w:t xml:space="preserve">Ácido fólico, en monoterapia para prevención de defectos del tubo neural en embarazo (primer trimestre) y periodo </w:t>
      </w:r>
      <w:proofErr w:type="spellStart"/>
      <w:r w:rsidRPr="00020C50">
        <w:rPr>
          <w:snapToGrid w:val="0"/>
        </w:rPr>
        <w:t>periconcepcional</w:t>
      </w:r>
      <w:proofErr w:type="spellEnd"/>
      <w:r w:rsidRPr="00020C50">
        <w:rPr>
          <w:snapToGrid w:val="0"/>
        </w:rPr>
        <w:t>.</w:t>
      </w:r>
    </w:p>
    <w:p w:rsidR="00E63186" w:rsidRPr="00020C50" w:rsidRDefault="00E63186" w:rsidP="00E63186">
      <w:pPr>
        <w:tabs>
          <w:tab w:val="num" w:pos="720"/>
        </w:tabs>
        <w:ind w:left="720" w:hanging="360"/>
        <w:jc w:val="both"/>
        <w:rPr>
          <w:snapToGrid w:val="0"/>
        </w:rPr>
      </w:pPr>
      <w:r w:rsidRPr="00020C50">
        <w:rPr>
          <w:snapToGrid w:val="0"/>
          <w:u w:val="single"/>
        </w:rPr>
        <w:t>Dosis</w:t>
      </w:r>
      <w:r w:rsidRPr="00020C50">
        <w:rPr>
          <w:snapToGrid w:val="0"/>
        </w:rPr>
        <w:t>: 0,8 mg/día</w:t>
      </w:r>
    </w:p>
    <w:p w:rsidR="00E63186" w:rsidRPr="00020C50" w:rsidRDefault="00E63186" w:rsidP="00396EBC">
      <w:pPr>
        <w:numPr>
          <w:ilvl w:val="0"/>
          <w:numId w:val="22"/>
        </w:numPr>
        <w:spacing w:after="0" w:line="240" w:lineRule="auto"/>
        <w:jc w:val="both"/>
        <w:rPr>
          <w:snapToGrid w:val="0"/>
        </w:rPr>
      </w:pPr>
      <w:r w:rsidRPr="00020C50">
        <w:rPr>
          <w:snapToGrid w:val="0"/>
        </w:rPr>
        <w:t xml:space="preserve">Anemia </w:t>
      </w:r>
      <w:proofErr w:type="spellStart"/>
      <w:r w:rsidRPr="00020C50">
        <w:rPr>
          <w:snapToGrid w:val="0"/>
        </w:rPr>
        <w:t>megaloblástica</w:t>
      </w:r>
      <w:proofErr w:type="spellEnd"/>
      <w:r w:rsidRPr="00020C50">
        <w:rPr>
          <w:snapToGrid w:val="0"/>
        </w:rPr>
        <w:t xml:space="preserve"> solo o asociado a vitamina B12 a dosis de 0,1mg/día.</w:t>
      </w:r>
    </w:p>
    <w:p w:rsidR="00CA63FC" w:rsidRDefault="00CA63FC" w:rsidP="00C144EE">
      <w:pPr>
        <w:pStyle w:val="Prrafodelista"/>
        <w:jc w:val="both"/>
        <w:rPr>
          <w:u w:val="single"/>
        </w:rPr>
      </w:pPr>
    </w:p>
    <w:p w:rsidR="00CA63FC" w:rsidRPr="00CA63FC" w:rsidRDefault="00CA63FC" w:rsidP="00CA63FC">
      <w:pPr>
        <w:tabs>
          <w:tab w:val="left" w:pos="1161"/>
        </w:tabs>
        <w:ind w:left="50"/>
        <w:rPr>
          <w:rFonts w:cs="Arial"/>
          <w:b/>
          <w:i/>
          <w:color w:val="00B050"/>
        </w:rPr>
      </w:pPr>
      <w:r w:rsidRPr="00CA63FC">
        <w:rPr>
          <w:rFonts w:cs="Arial"/>
          <w:b/>
          <w:i/>
          <w:color w:val="00B050"/>
        </w:rPr>
        <w:t>B01AX</w:t>
      </w:r>
      <w:r w:rsidRPr="00CA63FC">
        <w:rPr>
          <w:rFonts w:cs="Arial"/>
          <w:b/>
          <w:i/>
          <w:color w:val="00B050"/>
        </w:rPr>
        <w:tab/>
        <w:t>OTROS AGENTES ANTITROMBOTICOS</w:t>
      </w:r>
    </w:p>
    <w:p w:rsidR="00CA63FC" w:rsidRPr="00CA63FC" w:rsidRDefault="00CA63FC" w:rsidP="00CA63FC">
      <w:pPr>
        <w:tabs>
          <w:tab w:val="left" w:pos="1161"/>
        </w:tabs>
        <w:ind w:left="50"/>
        <w:rPr>
          <w:rFonts w:cs="Arial"/>
          <w:b/>
          <w:i/>
          <w:color w:val="00B050"/>
        </w:rPr>
      </w:pPr>
      <w:r w:rsidRPr="00CA63FC">
        <w:rPr>
          <w:rFonts w:cs="Arial"/>
          <w:b/>
          <w:i/>
          <w:color w:val="00B050"/>
        </w:rPr>
        <w:t>B01AX99</w:t>
      </w:r>
      <w:r w:rsidRPr="00CA63FC">
        <w:rPr>
          <w:rFonts w:cs="Arial"/>
          <w:b/>
          <w:i/>
          <w:color w:val="00B050"/>
        </w:rPr>
        <w:tab/>
        <w:t xml:space="preserve">CILOSTAZOL </w:t>
      </w:r>
    </w:p>
    <w:p w:rsidR="00CA63FC" w:rsidRPr="00CA63FC" w:rsidRDefault="00CA63FC" w:rsidP="00396EBC">
      <w:pPr>
        <w:numPr>
          <w:ilvl w:val="0"/>
          <w:numId w:val="74"/>
        </w:numPr>
        <w:spacing w:after="0" w:line="240" w:lineRule="auto"/>
        <w:jc w:val="both"/>
        <w:rPr>
          <w:rFonts w:cs="Arial"/>
        </w:rPr>
      </w:pPr>
      <w:r w:rsidRPr="00CA63FC">
        <w:rPr>
          <w:rFonts w:cs="Arial"/>
        </w:rPr>
        <w:t xml:space="preserve">Claudicación intermitente severa en pacientes con </w:t>
      </w:r>
      <w:proofErr w:type="spellStart"/>
      <w:r w:rsidRPr="00CA63FC">
        <w:rPr>
          <w:rFonts w:cs="Arial"/>
        </w:rPr>
        <w:t>arteriopatía</w:t>
      </w:r>
      <w:proofErr w:type="spellEnd"/>
      <w:r w:rsidRPr="00CA63FC">
        <w:rPr>
          <w:rFonts w:cs="Arial"/>
        </w:rPr>
        <w:t xml:space="preserve"> periférica.</w:t>
      </w:r>
    </w:p>
    <w:p w:rsidR="00CA63FC" w:rsidRPr="00CA63FC" w:rsidRDefault="00CA63FC" w:rsidP="00CA63FC">
      <w:pPr>
        <w:ind w:left="360"/>
        <w:rPr>
          <w:rFonts w:cs="Arial"/>
        </w:rPr>
      </w:pPr>
      <w:r w:rsidRPr="00CA63FC">
        <w:rPr>
          <w:rFonts w:cs="Arial"/>
          <w:u w:val="single"/>
        </w:rPr>
        <w:t>Dosis:</w:t>
      </w:r>
      <w:r w:rsidRPr="00CA63FC">
        <w:rPr>
          <w:rFonts w:cs="Arial"/>
        </w:rPr>
        <w:t xml:space="preserve"> 100 mg cada 12 horas por vía oral.</w:t>
      </w:r>
    </w:p>
    <w:p w:rsidR="00C144EE" w:rsidRPr="00B1108B" w:rsidRDefault="00C144EE" w:rsidP="00C144EE">
      <w:pPr>
        <w:spacing w:after="0" w:line="240" w:lineRule="auto"/>
        <w:jc w:val="both"/>
        <w:rPr>
          <w:rFonts w:ascii="Verdana" w:hAnsi="Verdana"/>
          <w:snapToGrid w:val="0"/>
        </w:rPr>
      </w:pPr>
    </w:p>
    <w:p w:rsidR="00C144EE" w:rsidRPr="00020C50" w:rsidRDefault="00C144EE" w:rsidP="00C144EE">
      <w:pPr>
        <w:tabs>
          <w:tab w:val="left" w:pos="1320"/>
        </w:tabs>
        <w:ind w:left="113"/>
        <w:rPr>
          <w:rFonts w:cs="Arial"/>
          <w:b/>
          <w:bCs/>
          <w:i/>
          <w:color w:val="00B050"/>
        </w:rPr>
      </w:pPr>
      <w:r w:rsidRPr="00020C50">
        <w:rPr>
          <w:rFonts w:cs="Arial"/>
          <w:b/>
          <w:i/>
          <w:color w:val="00B050"/>
        </w:rPr>
        <w:t>C01</w:t>
      </w:r>
      <w:r w:rsidRPr="00020C50">
        <w:rPr>
          <w:rFonts w:cs="Arial"/>
          <w:b/>
          <w:i/>
          <w:color w:val="00B050"/>
        </w:rPr>
        <w:tab/>
      </w:r>
      <w:r w:rsidRPr="00020C50">
        <w:rPr>
          <w:rFonts w:cs="Arial"/>
          <w:b/>
          <w:bCs/>
          <w:i/>
          <w:color w:val="00B050"/>
        </w:rPr>
        <w:t>CARDIOTERAPIA</w:t>
      </w:r>
    </w:p>
    <w:p w:rsidR="00C144EE" w:rsidRPr="00020C50" w:rsidRDefault="00C144EE" w:rsidP="00C144EE">
      <w:pPr>
        <w:tabs>
          <w:tab w:val="left" w:pos="1320"/>
        </w:tabs>
        <w:ind w:left="113"/>
        <w:rPr>
          <w:rFonts w:cs="Arial"/>
          <w:b/>
          <w:i/>
          <w:color w:val="00B050"/>
        </w:rPr>
      </w:pPr>
      <w:r w:rsidRPr="00020C50">
        <w:rPr>
          <w:rFonts w:cs="Arial"/>
          <w:b/>
          <w:i/>
          <w:color w:val="00B050"/>
        </w:rPr>
        <w:t>C01BD</w:t>
      </w:r>
      <w:r w:rsidRPr="00020C50">
        <w:rPr>
          <w:rFonts w:cs="Arial"/>
          <w:b/>
          <w:i/>
          <w:color w:val="00B050"/>
        </w:rPr>
        <w:tab/>
        <w:t>ANTIARRITMICOS, CLASE III</w:t>
      </w:r>
    </w:p>
    <w:p w:rsidR="00C144EE" w:rsidRPr="00020C50" w:rsidRDefault="00C144EE" w:rsidP="00C144EE">
      <w:pPr>
        <w:tabs>
          <w:tab w:val="left" w:pos="1320"/>
        </w:tabs>
        <w:ind w:left="113"/>
        <w:rPr>
          <w:rFonts w:cs="Arial"/>
          <w:b/>
          <w:i/>
          <w:color w:val="00B050"/>
        </w:rPr>
      </w:pPr>
      <w:r w:rsidRPr="00020C50">
        <w:rPr>
          <w:rFonts w:cs="Arial"/>
          <w:b/>
          <w:i/>
          <w:color w:val="00B050"/>
        </w:rPr>
        <w:t>C01BD01</w:t>
      </w:r>
      <w:r w:rsidRPr="00020C50">
        <w:rPr>
          <w:rFonts w:cs="Arial"/>
          <w:b/>
          <w:i/>
          <w:color w:val="00B050"/>
        </w:rPr>
        <w:tab/>
        <w:t xml:space="preserve">AMIODARONA CLORHIDRATO </w:t>
      </w:r>
    </w:p>
    <w:p w:rsidR="00C144EE" w:rsidRPr="00020C50" w:rsidRDefault="00C144EE" w:rsidP="00396EBC">
      <w:pPr>
        <w:pStyle w:val="Textosinformato"/>
        <w:numPr>
          <w:ilvl w:val="0"/>
          <w:numId w:val="22"/>
        </w:numPr>
        <w:jc w:val="both"/>
        <w:rPr>
          <w:rFonts w:asciiTheme="minorHAnsi" w:hAnsiTheme="minorHAnsi" w:cs="Times New Roman"/>
          <w:b w:val="0"/>
          <w:sz w:val="22"/>
          <w:szCs w:val="22"/>
        </w:rPr>
      </w:pPr>
      <w:r w:rsidRPr="00020C50">
        <w:rPr>
          <w:rFonts w:asciiTheme="minorHAnsi" w:hAnsiTheme="minorHAnsi" w:cs="Times New Roman"/>
          <w:b w:val="0"/>
          <w:sz w:val="22"/>
          <w:szCs w:val="22"/>
        </w:rPr>
        <w:t xml:space="preserve">Fármaco de alternativa debido a sus efectos adversos severos a nivel hepático, pulmonar, ocular, endocrino y dermatológico. Reservado para el fallo o cuando existan contraindicaciones formales a los </w:t>
      </w:r>
      <w:proofErr w:type="spellStart"/>
      <w:r w:rsidRPr="00020C50">
        <w:rPr>
          <w:rFonts w:asciiTheme="minorHAnsi" w:hAnsiTheme="minorHAnsi" w:cs="Times New Roman"/>
          <w:b w:val="0"/>
          <w:sz w:val="22"/>
          <w:szCs w:val="22"/>
        </w:rPr>
        <w:t>antiarrítmicos</w:t>
      </w:r>
      <w:proofErr w:type="spellEnd"/>
      <w:r w:rsidRPr="00020C50">
        <w:rPr>
          <w:rFonts w:asciiTheme="minorHAnsi" w:hAnsiTheme="minorHAnsi" w:cs="Times New Roman"/>
          <w:b w:val="0"/>
          <w:sz w:val="22"/>
          <w:szCs w:val="22"/>
        </w:rPr>
        <w:t xml:space="preserve"> convencionales en la taquicardia ventricular, fibrilación o aleteo auricular, y fibrilación ventricular.</w:t>
      </w:r>
    </w:p>
    <w:p w:rsidR="00C144EE" w:rsidRPr="00020C50" w:rsidRDefault="00C144EE" w:rsidP="00396EBC">
      <w:pPr>
        <w:pStyle w:val="Textosinformato"/>
        <w:numPr>
          <w:ilvl w:val="0"/>
          <w:numId w:val="22"/>
        </w:numPr>
        <w:jc w:val="both"/>
        <w:rPr>
          <w:rFonts w:asciiTheme="minorHAnsi" w:hAnsiTheme="minorHAnsi" w:cs="Times New Roman"/>
          <w:b w:val="0"/>
          <w:sz w:val="22"/>
          <w:szCs w:val="22"/>
        </w:rPr>
      </w:pPr>
      <w:r w:rsidRPr="00020C50">
        <w:rPr>
          <w:rFonts w:asciiTheme="minorHAnsi" w:hAnsiTheme="minorHAnsi" w:cs="Times New Roman"/>
          <w:b w:val="0"/>
          <w:sz w:val="22"/>
          <w:szCs w:val="22"/>
        </w:rPr>
        <w:t xml:space="preserve">Tratamiento de arritmias asociadas al  S. de Wolf-Parkinson-White. </w:t>
      </w:r>
    </w:p>
    <w:p w:rsidR="00C144EE" w:rsidRPr="00020C50" w:rsidRDefault="00C144EE" w:rsidP="00C144EE">
      <w:pPr>
        <w:pStyle w:val="Textosinformato"/>
        <w:tabs>
          <w:tab w:val="num" w:pos="720"/>
        </w:tabs>
        <w:ind w:left="720" w:hanging="360"/>
        <w:jc w:val="both"/>
        <w:rPr>
          <w:rFonts w:asciiTheme="minorHAnsi" w:hAnsiTheme="minorHAnsi" w:cs="Times New Roman"/>
          <w:b w:val="0"/>
          <w:sz w:val="22"/>
          <w:szCs w:val="22"/>
        </w:rPr>
      </w:pPr>
      <w:r w:rsidRPr="00020C50">
        <w:rPr>
          <w:rFonts w:asciiTheme="minorHAnsi" w:hAnsiTheme="minorHAnsi" w:cs="Times New Roman"/>
          <w:b w:val="0"/>
          <w:sz w:val="22"/>
          <w:szCs w:val="22"/>
          <w:u w:val="single"/>
        </w:rPr>
        <w:t>Dosis</w:t>
      </w:r>
      <w:r w:rsidRPr="00020C50">
        <w:rPr>
          <w:rFonts w:asciiTheme="minorHAnsi" w:hAnsiTheme="minorHAnsi" w:cs="Times New Roman"/>
          <w:b w:val="0"/>
          <w:sz w:val="22"/>
          <w:szCs w:val="22"/>
        </w:rPr>
        <w:t>: 400 mg/día.</w:t>
      </w:r>
    </w:p>
    <w:p w:rsidR="00C144EE" w:rsidRDefault="00C144EE" w:rsidP="00C144EE">
      <w:pPr>
        <w:tabs>
          <w:tab w:val="left" w:pos="1320"/>
        </w:tabs>
        <w:ind w:left="113"/>
        <w:rPr>
          <w:rFonts w:ascii="Verdana" w:hAnsi="Verdana" w:cs="Arial"/>
        </w:rPr>
      </w:pPr>
    </w:p>
    <w:p w:rsidR="00C144EE" w:rsidRPr="00B1108B" w:rsidRDefault="00C144EE" w:rsidP="00C144EE">
      <w:pPr>
        <w:tabs>
          <w:tab w:val="left" w:pos="1320"/>
        </w:tabs>
        <w:ind w:left="113"/>
        <w:rPr>
          <w:rFonts w:ascii="Verdana" w:hAnsi="Verdana" w:cs="Arial"/>
        </w:rPr>
      </w:pPr>
    </w:p>
    <w:p w:rsidR="00C144EE" w:rsidRPr="00766A30" w:rsidRDefault="00C144EE" w:rsidP="00C144EE">
      <w:pPr>
        <w:tabs>
          <w:tab w:val="left" w:pos="1320"/>
        </w:tabs>
        <w:ind w:left="113"/>
        <w:rPr>
          <w:rFonts w:cs="Arial"/>
          <w:b/>
          <w:bCs/>
          <w:i/>
          <w:color w:val="00B050"/>
        </w:rPr>
      </w:pPr>
      <w:r w:rsidRPr="00766A30">
        <w:rPr>
          <w:rFonts w:cs="Arial"/>
          <w:b/>
          <w:i/>
          <w:color w:val="00B050"/>
        </w:rPr>
        <w:t>C02</w:t>
      </w:r>
      <w:r w:rsidRPr="00766A30">
        <w:rPr>
          <w:rFonts w:cs="Arial"/>
          <w:b/>
          <w:i/>
          <w:color w:val="00B050"/>
        </w:rPr>
        <w:tab/>
        <w:t xml:space="preserve">FARMACOS </w:t>
      </w:r>
      <w:r w:rsidRPr="00766A30">
        <w:rPr>
          <w:rFonts w:cs="Arial"/>
          <w:b/>
          <w:bCs/>
          <w:i/>
          <w:color w:val="00B050"/>
        </w:rPr>
        <w:t>ANTIHIPERTENSIVOS</w:t>
      </w:r>
    </w:p>
    <w:p w:rsidR="00C144EE" w:rsidRPr="00766A30" w:rsidRDefault="00C144EE" w:rsidP="00C144EE">
      <w:pPr>
        <w:tabs>
          <w:tab w:val="left" w:pos="1320"/>
        </w:tabs>
        <w:ind w:left="113"/>
        <w:jc w:val="both"/>
      </w:pPr>
      <w:r w:rsidRPr="00766A30">
        <w:t xml:space="preserve">La hipertensión arterial esencial (HTA) es reconocida como uno de los principales factores de riesgo (FR) de enfermedad cardiovascular. Grandes estudios poblacionales, en distintos países del mundo, permitieron evaluar su prevalencia y sus distintos comportamientos en la </w:t>
      </w:r>
      <w:r w:rsidRPr="00766A30">
        <w:lastRenderedPageBreak/>
        <w:t xml:space="preserve">comunidad. En los EEUU se calcula que uno de cada cuatro individuos la padece, siendo mayor su prevalencia y la severidad de las secuelas en los sujetos de raza negra y menor en los de descendencia hispana. </w:t>
      </w:r>
    </w:p>
    <w:p w:rsidR="00C144EE" w:rsidRPr="00766A30" w:rsidRDefault="00C144EE" w:rsidP="00C144EE">
      <w:pPr>
        <w:tabs>
          <w:tab w:val="left" w:pos="1320"/>
        </w:tabs>
        <w:ind w:left="113"/>
        <w:jc w:val="both"/>
      </w:pPr>
      <w:r w:rsidRPr="00766A30">
        <w:t xml:space="preserve">La Argentina cuenta con una de las mayores tasas de morbilidad y  mortalidad  de origen cardiovascular en América; se han realizado estudios de prevalencia y de interrelación de factores de riesgo en diferentes comunidades, mostrando que, estimativamente, 1 de cada 3 argentinos adultos es hipertenso. </w:t>
      </w:r>
    </w:p>
    <w:p w:rsidR="00C144EE" w:rsidRPr="00766A30" w:rsidRDefault="00C144EE" w:rsidP="00C144EE">
      <w:pPr>
        <w:tabs>
          <w:tab w:val="left" w:pos="1320"/>
        </w:tabs>
        <w:ind w:left="113"/>
        <w:jc w:val="both"/>
      </w:pPr>
      <w:r w:rsidRPr="00766A30">
        <w:t>En 2010, el estudio CARMELA (</w:t>
      </w:r>
      <w:proofErr w:type="spellStart"/>
      <w:r w:rsidRPr="00766A30">
        <w:t>CArdiovascular</w:t>
      </w:r>
      <w:proofErr w:type="spellEnd"/>
      <w:r w:rsidRPr="00766A30">
        <w:t xml:space="preserve"> </w:t>
      </w:r>
      <w:proofErr w:type="spellStart"/>
      <w:r w:rsidRPr="00766A30">
        <w:t>Risk</w:t>
      </w:r>
      <w:proofErr w:type="spellEnd"/>
      <w:r w:rsidRPr="00766A30">
        <w:t xml:space="preserve"> </w:t>
      </w:r>
      <w:proofErr w:type="spellStart"/>
      <w:r w:rsidRPr="00766A30">
        <w:t>factors</w:t>
      </w:r>
      <w:proofErr w:type="spellEnd"/>
      <w:r w:rsidRPr="00766A30">
        <w:t xml:space="preserve"> </w:t>
      </w:r>
      <w:proofErr w:type="spellStart"/>
      <w:r w:rsidRPr="00766A30">
        <w:t>Multiple</w:t>
      </w:r>
      <w:proofErr w:type="spellEnd"/>
      <w:r w:rsidRPr="00766A30">
        <w:t xml:space="preserve"> </w:t>
      </w:r>
      <w:proofErr w:type="spellStart"/>
      <w:r w:rsidRPr="00766A30">
        <w:t>Evaluation</w:t>
      </w:r>
      <w:proofErr w:type="spellEnd"/>
      <w:r w:rsidRPr="00766A30">
        <w:t xml:space="preserve"> in </w:t>
      </w:r>
      <w:proofErr w:type="spellStart"/>
      <w:r w:rsidRPr="00766A30">
        <w:t>Latin</w:t>
      </w:r>
      <w:proofErr w:type="spellEnd"/>
      <w:r w:rsidRPr="00766A30">
        <w:t xml:space="preserve"> </w:t>
      </w:r>
      <w:proofErr w:type="spellStart"/>
      <w:r w:rsidRPr="00766A30">
        <w:t>America</w:t>
      </w:r>
      <w:proofErr w:type="spellEnd"/>
      <w:r w:rsidRPr="00766A30">
        <w:t xml:space="preserve">) que evaluó FRCV en 11500 adultos entre 25-64 años mostro en el centro evaluador de la Ciudad Autónoma de Buenos Aires (CEMIC) la prevalencia de HTA más alta de estudio (29%) en 1482 casos, y manifiesta diferencia a favor de los hombres (37,7%) comparado con mujeres (21,7%). </w:t>
      </w:r>
    </w:p>
    <w:p w:rsidR="00C144EE" w:rsidRPr="00766A30" w:rsidRDefault="00C144EE" w:rsidP="00C144EE">
      <w:pPr>
        <w:tabs>
          <w:tab w:val="left" w:pos="1320"/>
        </w:tabs>
        <w:ind w:left="113"/>
        <w:jc w:val="both"/>
      </w:pPr>
      <w:r w:rsidRPr="00766A30">
        <w:t xml:space="preserve">La HTA es un potente </w:t>
      </w:r>
      <w:r w:rsidRPr="00766A30">
        <w:rPr>
          <w:i/>
        </w:rPr>
        <w:t>factor de riesgo</w:t>
      </w:r>
      <w:r w:rsidRPr="00766A30">
        <w:t xml:space="preserve"> independiente. Cuando se la evalúa como factor de riesgo cardiovascular aterosclerótico, puede decirse que por sí sola incrementa el riesgo en dos a tres veces, por lo que puede considerarse que el 35% del riesgo de manifestaciones cardiovasculares de aterosclerosis es atribuible a la HTA. Configura el antecedente patológico de mayor relevancia que predispone a la cardiopatía isquémica (CI), al accidente cerebrovascular (ACV), la insuficiencia cardiaca (IC) y la </w:t>
      </w:r>
      <w:proofErr w:type="spellStart"/>
      <w:r w:rsidRPr="00766A30">
        <w:t>arteriopatía</w:t>
      </w:r>
      <w:proofErr w:type="spellEnd"/>
      <w:r w:rsidRPr="00766A30">
        <w:t xml:space="preserve"> periférica (AP). </w:t>
      </w:r>
    </w:p>
    <w:p w:rsidR="00C144EE" w:rsidRPr="00766A30" w:rsidRDefault="00C144EE" w:rsidP="00C144EE">
      <w:pPr>
        <w:tabs>
          <w:tab w:val="left" w:pos="1320"/>
        </w:tabs>
        <w:ind w:left="113"/>
        <w:jc w:val="both"/>
      </w:pPr>
      <w:r w:rsidRPr="00766A30">
        <w:t xml:space="preserve">La interrelación de HTA con hipercolesterolemia, </w:t>
      </w:r>
      <w:proofErr w:type="spellStart"/>
      <w:r w:rsidRPr="00766A30">
        <w:t>hipertrigliceridemia</w:t>
      </w:r>
      <w:proofErr w:type="spellEnd"/>
      <w:r w:rsidRPr="00766A30">
        <w:t xml:space="preserve">, HDL bajo, LDL elevado según factores de riesgo y morbilidad, obesidad y diabetes, representan un conjunto de factores metabólicos estrechamente vinculados, que merecen particular atención por su impacto sobre la morbimortalidad cardiovascular (CV) y global. </w:t>
      </w:r>
    </w:p>
    <w:p w:rsidR="00C144EE" w:rsidRPr="00766A30" w:rsidRDefault="00C144EE" w:rsidP="00C144EE">
      <w:pPr>
        <w:tabs>
          <w:tab w:val="left" w:pos="1320"/>
        </w:tabs>
        <w:ind w:left="113"/>
        <w:jc w:val="both"/>
      </w:pPr>
      <w:r w:rsidRPr="00766A30">
        <w:t xml:space="preserve">Definimos HTA cuando en por lo menos </w:t>
      </w:r>
      <w:r w:rsidRPr="00766A30">
        <w:rPr>
          <w:i/>
        </w:rPr>
        <w:t>2 visitas separadas por 1 o + semanas</w:t>
      </w:r>
      <w:r w:rsidRPr="00766A30">
        <w:t xml:space="preserve">, </w:t>
      </w:r>
      <w:r w:rsidRPr="00766A30">
        <w:rPr>
          <w:i/>
        </w:rPr>
        <w:t>los promedios de 2 o + lecturas</w:t>
      </w:r>
      <w:r w:rsidRPr="00766A30">
        <w:t xml:space="preserve"> arrojan una TAS &gt; o = 140mmHg y/o una TAD &gt; o = 90mmhg.</w:t>
      </w:r>
    </w:p>
    <w:p w:rsidR="00C144EE" w:rsidRPr="00766A30" w:rsidRDefault="00C144EE" w:rsidP="00C144EE">
      <w:pPr>
        <w:tabs>
          <w:tab w:val="left" w:pos="1320"/>
        </w:tabs>
        <w:ind w:left="113"/>
        <w:jc w:val="both"/>
      </w:pPr>
      <w:r w:rsidRPr="00766A30">
        <w:t xml:space="preserve">La </w:t>
      </w:r>
      <w:r w:rsidRPr="00766A30">
        <w:rPr>
          <w:i/>
        </w:rPr>
        <w:t>prevención y detección temprana</w:t>
      </w:r>
      <w:r w:rsidRPr="00766A30">
        <w:t xml:space="preserve"> de HTA permite intervenciones no farmacológicas modificadoras del estilo de vida de comprobada eficacia y efectividad para disminuir el impacto de la misma en el sujeto que la padece y en la comunidad. </w:t>
      </w:r>
    </w:p>
    <w:p w:rsidR="00C144EE" w:rsidRPr="00766A30" w:rsidRDefault="00C144EE" w:rsidP="00C144EE">
      <w:pPr>
        <w:tabs>
          <w:tab w:val="left" w:pos="1320"/>
        </w:tabs>
        <w:ind w:left="113"/>
        <w:jc w:val="both"/>
      </w:pPr>
      <w:r w:rsidRPr="00766A30">
        <w:t xml:space="preserve">Entre las </w:t>
      </w:r>
      <w:r w:rsidRPr="00766A30">
        <w:rPr>
          <w:i/>
        </w:rPr>
        <w:t>medidas no farmacológicas</w:t>
      </w:r>
      <w:r w:rsidRPr="00766A30">
        <w:t xml:space="preserve"> más efectivas a recomendar en todos los casos están: abandono del tabaco, reducción de peso, evitar el consumo excesivo de alcohol, realizar ejercicio físico regular, reducir la ingesta de sal, incrementar el consumo de frutas y verduras y disminuir el aporte de grasas totales saturadas. Estas medidas son constitutivas de la estrategia de prevención y tratamiento de la HTA, mejoran la eficacia antihipertensiva de los fármacos, disminuyen efectos adversos de los mismos e impactan sobre los FRCV. </w:t>
      </w:r>
    </w:p>
    <w:p w:rsidR="00C144EE" w:rsidRPr="00766A30" w:rsidRDefault="00C144EE" w:rsidP="00C144EE">
      <w:pPr>
        <w:tabs>
          <w:tab w:val="left" w:pos="1320"/>
        </w:tabs>
        <w:ind w:left="113"/>
        <w:jc w:val="both"/>
      </w:pPr>
      <w:r w:rsidRPr="00766A30">
        <w:t xml:space="preserve">El tratamiento farmacológico de la HTA esencial, sin comorbilidades encuentra en los </w:t>
      </w:r>
      <w:r w:rsidRPr="00766A30">
        <w:rPr>
          <w:i/>
        </w:rPr>
        <w:t xml:space="preserve">diuréticos </w:t>
      </w:r>
      <w:proofErr w:type="spellStart"/>
      <w:r w:rsidRPr="00766A30">
        <w:rPr>
          <w:i/>
        </w:rPr>
        <w:t>tiazídicos</w:t>
      </w:r>
      <w:proofErr w:type="spellEnd"/>
      <w:r w:rsidRPr="00766A30">
        <w:rPr>
          <w:i/>
        </w:rPr>
        <w:t xml:space="preserve"> a dosis bajas la mejor opción</w:t>
      </w:r>
      <w:r w:rsidRPr="00766A30">
        <w:t xml:space="preserve"> basada en evidencia por efectividad y costo. </w:t>
      </w:r>
    </w:p>
    <w:p w:rsidR="00C144EE" w:rsidRPr="00766A30" w:rsidRDefault="00C144EE" w:rsidP="00C144EE">
      <w:pPr>
        <w:tabs>
          <w:tab w:val="left" w:pos="1320"/>
        </w:tabs>
        <w:ind w:left="113"/>
        <w:jc w:val="both"/>
        <w:rPr>
          <w:rFonts w:cs="Arial"/>
        </w:rPr>
      </w:pPr>
      <w:r w:rsidRPr="00766A30">
        <w:t xml:space="preserve">Los </w:t>
      </w:r>
      <w:r w:rsidRPr="00766A30">
        <w:rPr>
          <w:i/>
        </w:rPr>
        <w:t>beta bloqueantes</w:t>
      </w:r>
      <w:r w:rsidRPr="00766A30">
        <w:t xml:space="preserve"> (HTA y enfermedad coronaria); los </w:t>
      </w:r>
      <w:r w:rsidRPr="00766A30">
        <w:rPr>
          <w:i/>
        </w:rPr>
        <w:t xml:space="preserve">inhibidores de la enzima </w:t>
      </w:r>
      <w:proofErr w:type="spellStart"/>
      <w:r w:rsidRPr="00766A30">
        <w:rPr>
          <w:i/>
        </w:rPr>
        <w:t>convertidota</w:t>
      </w:r>
      <w:proofErr w:type="spellEnd"/>
      <w:r w:rsidRPr="00766A30">
        <w:t xml:space="preserve"> (HTA e insuficiencia cardíaca e HTA en el diabético con proteinuria); los </w:t>
      </w:r>
      <w:r w:rsidRPr="00766A30">
        <w:rPr>
          <w:i/>
        </w:rPr>
        <w:t>antagonistas de los receptores de angiotensina</w:t>
      </w:r>
      <w:r w:rsidRPr="00766A30">
        <w:t xml:space="preserve"> (HTA e hipertrofia ventricular izquierda; intolerancia a IECA) y los </w:t>
      </w:r>
      <w:r w:rsidRPr="00766A30">
        <w:rPr>
          <w:i/>
        </w:rPr>
        <w:t>bloqueantes cálcicos</w:t>
      </w:r>
      <w:r w:rsidRPr="00766A30">
        <w:t xml:space="preserve"> (hipertensión sistólica aislada con fallo a diuréticos) encuentran su lugar en la terapéutica racional de la HTA </w:t>
      </w:r>
      <w:r w:rsidRPr="00766A30">
        <w:rPr>
          <w:i/>
        </w:rPr>
        <w:t>según las comorbilidades presentes</w:t>
      </w:r>
      <w:r w:rsidRPr="00766A30">
        <w:t xml:space="preserve"> en cada caso y la conveniencia  de su empleo. </w:t>
      </w:r>
    </w:p>
    <w:p w:rsidR="00C144EE" w:rsidRPr="00766A30" w:rsidRDefault="00C144EE" w:rsidP="00C144EE">
      <w:pPr>
        <w:tabs>
          <w:tab w:val="left" w:pos="1320"/>
        </w:tabs>
        <w:ind w:left="113"/>
        <w:jc w:val="both"/>
        <w:rPr>
          <w:rFonts w:cs="Arial"/>
        </w:rPr>
      </w:pPr>
      <w:r w:rsidRPr="00766A30">
        <w:rPr>
          <w:rFonts w:cs="Arial"/>
        </w:rPr>
        <w:lastRenderedPageBreak/>
        <w:t xml:space="preserve">El desafío epidemiológico radica en mejorar la tasa de conocimiento y la adherencia al tratamiento, que según los grandes estudios sigue siendo muy baja en términos de detección, control e impacto sobre RCV. </w:t>
      </w:r>
    </w:p>
    <w:p w:rsidR="00C144EE" w:rsidRPr="00766A30" w:rsidRDefault="00C144EE" w:rsidP="00C144EE">
      <w:pPr>
        <w:tabs>
          <w:tab w:val="left" w:pos="1320"/>
        </w:tabs>
        <w:ind w:left="113"/>
        <w:jc w:val="both"/>
        <w:rPr>
          <w:rFonts w:cs="Arial"/>
        </w:rPr>
      </w:pPr>
      <w:r w:rsidRPr="00766A30">
        <w:rPr>
          <w:rFonts w:cs="Arial"/>
        </w:rPr>
        <w:t>El grupo de mayores de 70 años con HTA es de mayor crecimiento global.</w:t>
      </w:r>
    </w:p>
    <w:p w:rsidR="00C144EE" w:rsidRPr="00766A30" w:rsidRDefault="00C144EE" w:rsidP="00C144EE">
      <w:pPr>
        <w:tabs>
          <w:tab w:val="left" w:pos="1320"/>
        </w:tabs>
        <w:ind w:left="113"/>
        <w:jc w:val="both"/>
        <w:rPr>
          <w:rFonts w:cs="Arial"/>
        </w:rPr>
      </w:pPr>
      <w:r w:rsidRPr="00766A30">
        <w:rPr>
          <w:rFonts w:cs="Arial"/>
        </w:rPr>
        <w:t xml:space="preserve">La HTA en el anciano reconoce metas y manejo particular, sin que se le preste la debida atención, por lo que recomendamos la lectura del reciente consenso de la ACCF/AHA 2011 - </w:t>
      </w:r>
      <w:proofErr w:type="spellStart"/>
      <w:r w:rsidRPr="00766A30">
        <w:rPr>
          <w:rFonts w:cs="Arial"/>
        </w:rPr>
        <w:t>Document</w:t>
      </w:r>
      <w:proofErr w:type="spellEnd"/>
      <w:r w:rsidRPr="00766A30">
        <w:rPr>
          <w:rFonts w:cs="Arial"/>
        </w:rPr>
        <w:t xml:space="preserve"> </w:t>
      </w:r>
      <w:proofErr w:type="spellStart"/>
      <w:r w:rsidRPr="00766A30">
        <w:rPr>
          <w:rFonts w:cs="Arial"/>
        </w:rPr>
        <w:t>on</w:t>
      </w:r>
      <w:proofErr w:type="spellEnd"/>
      <w:r w:rsidRPr="00766A30">
        <w:rPr>
          <w:rFonts w:cs="Arial"/>
        </w:rPr>
        <w:t xml:space="preserve"> </w:t>
      </w:r>
      <w:proofErr w:type="spellStart"/>
      <w:r w:rsidRPr="00766A30">
        <w:rPr>
          <w:rFonts w:cs="Arial"/>
        </w:rPr>
        <w:t>Hypertension</w:t>
      </w:r>
      <w:proofErr w:type="spellEnd"/>
      <w:r w:rsidRPr="00766A30">
        <w:rPr>
          <w:rFonts w:cs="Arial"/>
        </w:rPr>
        <w:t xml:space="preserve"> in </w:t>
      </w:r>
      <w:proofErr w:type="spellStart"/>
      <w:r w:rsidRPr="00766A30">
        <w:rPr>
          <w:rFonts w:cs="Arial"/>
        </w:rPr>
        <w:t>the</w:t>
      </w:r>
      <w:proofErr w:type="spellEnd"/>
      <w:r w:rsidRPr="00766A30">
        <w:rPr>
          <w:rFonts w:cs="Arial"/>
        </w:rPr>
        <w:t xml:space="preserve"> </w:t>
      </w:r>
      <w:proofErr w:type="spellStart"/>
      <w:r w:rsidRPr="00766A30">
        <w:rPr>
          <w:rFonts w:cs="Arial"/>
        </w:rPr>
        <w:t>elderly</w:t>
      </w:r>
      <w:proofErr w:type="spellEnd"/>
      <w:r w:rsidRPr="00766A30">
        <w:rPr>
          <w:rFonts w:cs="Arial"/>
        </w:rPr>
        <w:t xml:space="preserve">. </w:t>
      </w:r>
    </w:p>
    <w:p w:rsidR="00C144EE" w:rsidRPr="00766A30" w:rsidRDefault="00C144EE" w:rsidP="00C144EE">
      <w:pPr>
        <w:tabs>
          <w:tab w:val="left" w:pos="1320"/>
        </w:tabs>
        <w:ind w:left="113"/>
        <w:jc w:val="both"/>
        <w:rPr>
          <w:rFonts w:cs="Arial"/>
          <w:b/>
          <w:i/>
          <w:color w:val="00B050"/>
        </w:rPr>
      </w:pPr>
    </w:p>
    <w:p w:rsidR="00C144EE" w:rsidRPr="00766A30" w:rsidRDefault="00C144EE" w:rsidP="00C144EE">
      <w:pPr>
        <w:tabs>
          <w:tab w:val="left" w:pos="1320"/>
        </w:tabs>
        <w:ind w:left="113"/>
        <w:rPr>
          <w:rFonts w:cs="Arial"/>
          <w:b/>
          <w:i/>
          <w:color w:val="00B050"/>
        </w:rPr>
      </w:pPr>
      <w:r w:rsidRPr="00766A30">
        <w:rPr>
          <w:rFonts w:cs="Arial"/>
          <w:b/>
          <w:i/>
          <w:color w:val="00B050"/>
        </w:rPr>
        <w:t>C02AB01</w:t>
      </w:r>
      <w:r w:rsidRPr="00766A30">
        <w:rPr>
          <w:rFonts w:cs="Arial"/>
          <w:b/>
          <w:i/>
          <w:color w:val="00B050"/>
        </w:rPr>
        <w:tab/>
        <w:t xml:space="preserve">ALFA METILDOPA </w:t>
      </w:r>
    </w:p>
    <w:p w:rsidR="00C144EE" w:rsidRPr="00766A30" w:rsidRDefault="00C144EE" w:rsidP="00396EBC">
      <w:pPr>
        <w:numPr>
          <w:ilvl w:val="0"/>
          <w:numId w:val="23"/>
        </w:numPr>
        <w:spacing w:after="0" w:line="240" w:lineRule="auto"/>
        <w:jc w:val="both"/>
        <w:rPr>
          <w:snapToGrid w:val="0"/>
        </w:rPr>
      </w:pPr>
      <w:r w:rsidRPr="00766A30">
        <w:rPr>
          <w:snapToGrid w:val="0"/>
        </w:rPr>
        <w:t>Fármaco de elección de la hipertensión arterial moderada a severa durante el embarazo, incluyendo la que cursa con compromiso renal.</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bCs/>
          <w:i/>
          <w:color w:val="00B050"/>
        </w:rPr>
      </w:pPr>
      <w:r w:rsidRPr="00766A30">
        <w:rPr>
          <w:rFonts w:cs="Arial"/>
          <w:b/>
          <w:i/>
          <w:color w:val="00B050"/>
        </w:rPr>
        <w:t>C03</w:t>
      </w:r>
      <w:r w:rsidRPr="00766A30">
        <w:rPr>
          <w:rFonts w:cs="Arial"/>
          <w:b/>
          <w:i/>
          <w:color w:val="00B050"/>
        </w:rPr>
        <w:tab/>
      </w:r>
      <w:r w:rsidRPr="00766A30">
        <w:rPr>
          <w:rFonts w:cs="Arial"/>
          <w:b/>
          <w:bCs/>
          <w:i/>
          <w:color w:val="00B050"/>
        </w:rPr>
        <w:t>DIURETICOS</w:t>
      </w:r>
    </w:p>
    <w:p w:rsidR="00C144EE" w:rsidRPr="00766A30" w:rsidRDefault="00C144EE" w:rsidP="00C144EE">
      <w:pPr>
        <w:tabs>
          <w:tab w:val="left" w:pos="1320"/>
        </w:tabs>
        <w:ind w:left="113"/>
        <w:jc w:val="both"/>
        <w:rPr>
          <w:rFonts w:cs="Arial"/>
        </w:rPr>
      </w:pPr>
      <w:r w:rsidRPr="00766A30">
        <w:rPr>
          <w:rFonts w:cs="Arial"/>
        </w:rPr>
        <w:t xml:space="preserve">El 7º Informe del </w:t>
      </w:r>
      <w:proofErr w:type="spellStart"/>
      <w:r w:rsidRPr="00766A30">
        <w:rPr>
          <w:rFonts w:cs="Arial"/>
        </w:rPr>
        <w:t>Joint</w:t>
      </w:r>
      <w:proofErr w:type="spellEnd"/>
      <w:r w:rsidRPr="00766A30">
        <w:rPr>
          <w:rFonts w:cs="Arial"/>
        </w:rPr>
        <w:t xml:space="preserve"> </w:t>
      </w:r>
      <w:proofErr w:type="spellStart"/>
      <w:r w:rsidRPr="00766A30">
        <w:rPr>
          <w:rFonts w:cs="Arial"/>
        </w:rPr>
        <w:t>National</w:t>
      </w:r>
      <w:proofErr w:type="spellEnd"/>
      <w:r w:rsidRPr="00766A30">
        <w:rPr>
          <w:rFonts w:cs="Arial"/>
        </w:rPr>
        <w:t xml:space="preserve"> </w:t>
      </w:r>
      <w:proofErr w:type="spellStart"/>
      <w:r w:rsidRPr="00766A30">
        <w:rPr>
          <w:rFonts w:cs="Arial"/>
        </w:rPr>
        <w:t>Comittee</w:t>
      </w:r>
      <w:proofErr w:type="spellEnd"/>
      <w:r w:rsidRPr="00766A30">
        <w:rPr>
          <w:rFonts w:cs="Arial"/>
        </w:rPr>
        <w:t xml:space="preserve"> sobre Prevención, Detección, Evaluación y Tratamiento de la HTA concluye que </w:t>
      </w:r>
      <w:r w:rsidRPr="00766A30">
        <w:rPr>
          <w:rFonts w:cs="Arial"/>
          <w:i/>
        </w:rPr>
        <w:t xml:space="preserve">los diuréticos del tipo </w:t>
      </w:r>
      <w:proofErr w:type="spellStart"/>
      <w:r w:rsidRPr="00766A30">
        <w:rPr>
          <w:rFonts w:cs="Arial"/>
          <w:i/>
        </w:rPr>
        <w:t>tiazidas</w:t>
      </w:r>
      <w:proofErr w:type="spellEnd"/>
      <w:r w:rsidRPr="00766A30">
        <w:rPr>
          <w:rFonts w:cs="Arial"/>
          <w:i/>
        </w:rPr>
        <w:t xml:space="preserve"> a dosis bajas deberían ser indicados en el tratamiento farmacológico de la mayoría de casos de HTA no complicada</w:t>
      </w:r>
      <w:r w:rsidRPr="00766A30">
        <w:rPr>
          <w:rFonts w:cs="Arial"/>
        </w:rPr>
        <w:t xml:space="preserve"> en monoterapia o bien combinados con otros grupos de acuerdo al estadio y la respuesta inicial observada. </w:t>
      </w:r>
    </w:p>
    <w:p w:rsidR="00C144EE" w:rsidRPr="00766A30" w:rsidRDefault="00C144EE" w:rsidP="00C144EE">
      <w:pPr>
        <w:tabs>
          <w:tab w:val="left" w:pos="1320"/>
        </w:tabs>
        <w:ind w:left="113"/>
        <w:jc w:val="both"/>
        <w:rPr>
          <w:rFonts w:cs="Arial"/>
        </w:rPr>
      </w:pPr>
      <w:r w:rsidRPr="00766A30">
        <w:rPr>
          <w:rFonts w:cs="Arial"/>
        </w:rPr>
        <w:t xml:space="preserve">Idéntica recomendación promueven desde OMS / ISH -2003- mientras que NICE y la BHS -2006-2011 mantienen </w:t>
      </w:r>
      <w:proofErr w:type="spellStart"/>
      <w:r w:rsidRPr="00766A30">
        <w:rPr>
          <w:rFonts w:cs="Arial"/>
        </w:rPr>
        <w:t>tiazidas</w:t>
      </w:r>
      <w:proofErr w:type="spellEnd"/>
      <w:r w:rsidRPr="00766A30">
        <w:rPr>
          <w:rFonts w:cs="Arial"/>
        </w:rPr>
        <w:t xml:space="preserve"> en mayores de 55 años.   </w:t>
      </w:r>
    </w:p>
    <w:p w:rsidR="00C144EE" w:rsidRPr="00766A30" w:rsidRDefault="00C144EE" w:rsidP="00C144EE">
      <w:pPr>
        <w:tabs>
          <w:tab w:val="left" w:pos="1320"/>
        </w:tabs>
        <w:ind w:left="113"/>
        <w:jc w:val="both"/>
        <w:rPr>
          <w:rFonts w:cs="Arial"/>
        </w:rPr>
      </w:pPr>
      <w:r w:rsidRPr="00766A30">
        <w:rPr>
          <w:rFonts w:cs="Arial"/>
        </w:rPr>
        <w:t xml:space="preserve">El CHEP – Canadian </w:t>
      </w:r>
      <w:proofErr w:type="spellStart"/>
      <w:r w:rsidRPr="00766A30">
        <w:rPr>
          <w:rFonts w:cs="Arial"/>
        </w:rPr>
        <w:t>Hypertension</w:t>
      </w:r>
      <w:proofErr w:type="spellEnd"/>
      <w:r w:rsidRPr="00766A30">
        <w:rPr>
          <w:rFonts w:cs="Arial"/>
        </w:rPr>
        <w:t xml:space="preserve"> </w:t>
      </w:r>
      <w:proofErr w:type="spellStart"/>
      <w:r w:rsidRPr="00766A30">
        <w:rPr>
          <w:rFonts w:cs="Arial"/>
        </w:rPr>
        <w:t>Education</w:t>
      </w:r>
      <w:proofErr w:type="spellEnd"/>
      <w:r w:rsidRPr="00766A30">
        <w:rPr>
          <w:rFonts w:cs="Arial"/>
        </w:rPr>
        <w:t xml:space="preserve"> </w:t>
      </w:r>
      <w:proofErr w:type="spellStart"/>
      <w:r w:rsidRPr="00766A30">
        <w:rPr>
          <w:rFonts w:cs="Arial"/>
        </w:rPr>
        <w:t>Program</w:t>
      </w:r>
      <w:proofErr w:type="spellEnd"/>
      <w:r w:rsidRPr="00766A30">
        <w:rPr>
          <w:rFonts w:cs="Arial"/>
        </w:rPr>
        <w:t xml:space="preserve"> –reconoce en los diuréticos </w:t>
      </w:r>
      <w:proofErr w:type="spellStart"/>
      <w:r w:rsidRPr="00766A30">
        <w:rPr>
          <w:rFonts w:cs="Arial"/>
        </w:rPr>
        <w:t>tiazídicos</w:t>
      </w:r>
      <w:proofErr w:type="spellEnd"/>
      <w:r w:rsidRPr="00766A30">
        <w:rPr>
          <w:rFonts w:cs="Arial"/>
        </w:rPr>
        <w:t xml:space="preserve"> la única recomendación de grado A entre los fármacos con eficacia clínica demostrada para HTA - sin comorbilidades asociadas:              BB – menores de 60 años, IECA- salvo raza negra, ACA y ARA II que detentan recomendación de grado B.</w:t>
      </w:r>
    </w:p>
    <w:p w:rsidR="00C144EE" w:rsidRPr="00766A30" w:rsidRDefault="00C144EE" w:rsidP="00C144EE">
      <w:pPr>
        <w:tabs>
          <w:tab w:val="left" w:pos="1320"/>
        </w:tabs>
        <w:ind w:left="113"/>
        <w:jc w:val="both"/>
        <w:rPr>
          <w:rFonts w:cs="Arial"/>
        </w:rPr>
      </w:pPr>
      <w:r w:rsidRPr="00766A30">
        <w:rPr>
          <w:rFonts w:cs="Arial"/>
        </w:rPr>
        <w:t xml:space="preserve">El impacto favorable de los diuréticos sobre ECV alcanza la </w:t>
      </w:r>
      <w:r w:rsidRPr="00766A30">
        <w:rPr>
          <w:rFonts w:cs="Arial"/>
          <w:i/>
        </w:rPr>
        <w:t>enfermedad coronaria, la insuficiencia cardíaca, ACV, eventos CV mayores, mortalidad CV y mortalidad total</w:t>
      </w:r>
      <w:r w:rsidRPr="00766A30">
        <w:rPr>
          <w:rFonts w:cs="Arial"/>
        </w:rPr>
        <w:t xml:space="preserve">. </w:t>
      </w:r>
    </w:p>
    <w:p w:rsidR="00C144EE" w:rsidRPr="00766A30" w:rsidRDefault="00C144EE" w:rsidP="00C144EE">
      <w:pPr>
        <w:tabs>
          <w:tab w:val="left" w:pos="1320"/>
        </w:tabs>
        <w:ind w:left="113"/>
        <w:jc w:val="both"/>
        <w:rPr>
          <w:rFonts w:cs="Arial"/>
        </w:rPr>
      </w:pPr>
      <w:r w:rsidRPr="00766A30">
        <w:rPr>
          <w:rFonts w:cs="Arial"/>
        </w:rPr>
        <w:t xml:space="preserve">Los fármacos más importantes son la </w:t>
      </w:r>
      <w:proofErr w:type="spellStart"/>
      <w:r w:rsidRPr="00766A30">
        <w:rPr>
          <w:rFonts w:cs="Arial"/>
        </w:rPr>
        <w:t>clortalidona</w:t>
      </w:r>
      <w:proofErr w:type="spellEnd"/>
      <w:r w:rsidRPr="00766A30">
        <w:rPr>
          <w:rFonts w:cs="Arial"/>
        </w:rPr>
        <w:t xml:space="preserve">, con mayores evaluaciones, y luego la </w:t>
      </w:r>
      <w:proofErr w:type="spellStart"/>
      <w:r w:rsidRPr="00766A30">
        <w:rPr>
          <w:rFonts w:cs="Arial"/>
        </w:rPr>
        <w:t>hidroclorotiazida</w:t>
      </w:r>
      <w:proofErr w:type="spellEnd"/>
      <w:r w:rsidRPr="00766A30">
        <w:rPr>
          <w:rFonts w:cs="Arial"/>
        </w:rPr>
        <w:t xml:space="preserve"> para todos los grupos incluyendo al anciano.  </w:t>
      </w:r>
    </w:p>
    <w:p w:rsidR="00C144EE" w:rsidRPr="00766A30" w:rsidRDefault="00C144EE" w:rsidP="00C144EE">
      <w:pPr>
        <w:tabs>
          <w:tab w:val="left" w:pos="1320"/>
        </w:tabs>
        <w:ind w:left="113"/>
        <w:jc w:val="both"/>
        <w:rPr>
          <w:rFonts w:cs="Arial"/>
        </w:rPr>
      </w:pPr>
      <w:r w:rsidRPr="00766A30">
        <w:rPr>
          <w:rFonts w:cs="Arial"/>
        </w:rPr>
        <w:t xml:space="preserve">El 8º Informe del </w:t>
      </w:r>
      <w:proofErr w:type="spellStart"/>
      <w:r w:rsidRPr="00766A30">
        <w:rPr>
          <w:rFonts w:cs="Arial"/>
        </w:rPr>
        <w:t>Joint</w:t>
      </w:r>
      <w:proofErr w:type="spellEnd"/>
      <w:r w:rsidRPr="00766A30">
        <w:rPr>
          <w:rFonts w:cs="Arial"/>
        </w:rPr>
        <w:t xml:space="preserve"> </w:t>
      </w:r>
      <w:proofErr w:type="spellStart"/>
      <w:r w:rsidRPr="00766A30">
        <w:rPr>
          <w:rFonts w:cs="Arial"/>
        </w:rPr>
        <w:t>National</w:t>
      </w:r>
      <w:proofErr w:type="spellEnd"/>
      <w:r w:rsidRPr="00766A30">
        <w:rPr>
          <w:rFonts w:cs="Arial"/>
        </w:rPr>
        <w:t xml:space="preserve"> </w:t>
      </w:r>
      <w:proofErr w:type="spellStart"/>
      <w:r w:rsidRPr="00766A30">
        <w:rPr>
          <w:rFonts w:cs="Arial"/>
        </w:rPr>
        <w:t>Comittee</w:t>
      </w:r>
      <w:proofErr w:type="spellEnd"/>
      <w:r w:rsidRPr="00766A30">
        <w:rPr>
          <w:rFonts w:cs="Arial"/>
        </w:rPr>
        <w:t xml:space="preserve"> sobre Prevención, Detección, Evaluación y Tratamiento - 2014 – ubica a </w:t>
      </w:r>
      <w:proofErr w:type="spellStart"/>
      <w:r w:rsidRPr="00766A30">
        <w:rPr>
          <w:rFonts w:cs="Arial"/>
        </w:rPr>
        <w:t>tiazidas</w:t>
      </w:r>
      <w:proofErr w:type="spellEnd"/>
      <w:r w:rsidRPr="00766A30">
        <w:rPr>
          <w:rFonts w:cs="Arial"/>
        </w:rPr>
        <w:t xml:space="preserve">, IECA y ARA II (cuando reemplazan a los IECA por seguridad) y los bloqueantes </w:t>
      </w:r>
      <w:proofErr w:type="spellStart"/>
      <w:r w:rsidRPr="00766A30">
        <w:rPr>
          <w:rFonts w:cs="Arial"/>
        </w:rPr>
        <w:t>calcicos</w:t>
      </w:r>
      <w:proofErr w:type="spellEnd"/>
      <w:r w:rsidRPr="00766A30">
        <w:rPr>
          <w:rFonts w:cs="Arial"/>
        </w:rPr>
        <w:t xml:space="preserve"> como los grupos farmacológicos relevantes, manteniendo los diuréticos de techo bajo (</w:t>
      </w:r>
      <w:proofErr w:type="spellStart"/>
      <w:r w:rsidRPr="00766A30">
        <w:rPr>
          <w:rFonts w:cs="Arial"/>
        </w:rPr>
        <w:t>tiazidas</w:t>
      </w:r>
      <w:proofErr w:type="spellEnd"/>
      <w:r w:rsidRPr="00766A30">
        <w:rPr>
          <w:rFonts w:cs="Arial"/>
        </w:rPr>
        <w:t xml:space="preserve"> y </w:t>
      </w:r>
      <w:proofErr w:type="spellStart"/>
      <w:r w:rsidRPr="00766A30">
        <w:rPr>
          <w:rFonts w:cs="Arial"/>
        </w:rPr>
        <w:t>clortalidona</w:t>
      </w:r>
      <w:proofErr w:type="spellEnd"/>
      <w:r w:rsidRPr="00766A30">
        <w:rPr>
          <w:rFonts w:cs="Arial"/>
        </w:rPr>
        <w:t xml:space="preserve">) a dosis bajas sus ventajas reseñadas aquí. Los </w:t>
      </w:r>
      <w:proofErr w:type="gramStart"/>
      <w:r w:rsidRPr="00766A30">
        <w:rPr>
          <w:rFonts w:cs="Arial"/>
        </w:rPr>
        <w:t>beta</w:t>
      </w:r>
      <w:proofErr w:type="gramEnd"/>
      <w:r w:rsidRPr="00766A30">
        <w:rPr>
          <w:rFonts w:cs="Arial"/>
        </w:rPr>
        <w:t xml:space="preserve"> bloqueantes mantienen su lugar en el manejo de la HTA en función de comorbilidades presentes y donde muestran impacto sobre morbilidad y mortalidad (cardiopatía isquémica e ICC) </w:t>
      </w:r>
    </w:p>
    <w:p w:rsidR="00C144EE" w:rsidRPr="00766A30" w:rsidRDefault="00C144EE" w:rsidP="00C144EE">
      <w:pPr>
        <w:tabs>
          <w:tab w:val="left" w:pos="1320"/>
        </w:tabs>
        <w:ind w:left="113"/>
        <w:rPr>
          <w:rFonts w:cs="Arial"/>
          <w:b/>
          <w:i/>
          <w:color w:val="00B050"/>
        </w:rPr>
      </w:pPr>
    </w:p>
    <w:p w:rsidR="00C144EE" w:rsidRPr="00766A30" w:rsidRDefault="00C144EE" w:rsidP="00C144EE">
      <w:pPr>
        <w:tabs>
          <w:tab w:val="left" w:pos="1320"/>
        </w:tabs>
        <w:ind w:left="113"/>
        <w:rPr>
          <w:rFonts w:cs="Arial"/>
          <w:b/>
          <w:i/>
          <w:color w:val="00B050"/>
        </w:rPr>
      </w:pPr>
      <w:r w:rsidRPr="00766A30">
        <w:rPr>
          <w:rFonts w:cs="Arial"/>
          <w:b/>
          <w:i/>
          <w:color w:val="00B050"/>
        </w:rPr>
        <w:t>C03AA</w:t>
      </w:r>
      <w:r w:rsidRPr="00766A30">
        <w:rPr>
          <w:rFonts w:cs="Arial"/>
          <w:b/>
          <w:i/>
          <w:color w:val="00B050"/>
        </w:rPr>
        <w:tab/>
        <w:t>TIAZIDAS</w:t>
      </w:r>
    </w:p>
    <w:p w:rsidR="00C144EE" w:rsidRPr="00766A30" w:rsidRDefault="00C144EE" w:rsidP="00C144EE">
      <w:pPr>
        <w:tabs>
          <w:tab w:val="left" w:pos="1320"/>
        </w:tabs>
        <w:ind w:left="113"/>
        <w:rPr>
          <w:rFonts w:cs="Arial"/>
          <w:b/>
          <w:i/>
          <w:color w:val="00B050"/>
        </w:rPr>
      </w:pPr>
      <w:r w:rsidRPr="00766A30">
        <w:rPr>
          <w:rFonts w:cs="Arial"/>
          <w:b/>
          <w:i/>
          <w:color w:val="00B050"/>
        </w:rPr>
        <w:t>C03AA03</w:t>
      </w:r>
      <w:r w:rsidRPr="00766A30">
        <w:rPr>
          <w:rFonts w:cs="Arial"/>
          <w:b/>
          <w:i/>
          <w:color w:val="00B050"/>
        </w:rPr>
        <w:tab/>
        <w:t xml:space="preserve">HIDROCLOROTIAZIDA </w:t>
      </w:r>
    </w:p>
    <w:p w:rsidR="00C144EE" w:rsidRPr="00766A30" w:rsidRDefault="00C144EE" w:rsidP="00396EBC">
      <w:pPr>
        <w:numPr>
          <w:ilvl w:val="0"/>
          <w:numId w:val="23"/>
        </w:numPr>
        <w:spacing w:before="100" w:beforeAutospacing="1" w:after="100" w:afterAutospacing="1" w:line="240" w:lineRule="auto"/>
        <w:jc w:val="both"/>
        <w:rPr>
          <w:snapToGrid w:val="0"/>
        </w:rPr>
      </w:pPr>
      <w:r w:rsidRPr="00766A30">
        <w:rPr>
          <w:snapToGrid w:val="0"/>
        </w:rPr>
        <w:lastRenderedPageBreak/>
        <w:t xml:space="preserve">Fármaco de elección de la hipertensión arterial esencial no controlada con medidas no farmacológicas. </w:t>
      </w:r>
    </w:p>
    <w:p w:rsidR="00C144EE" w:rsidRPr="00766A30" w:rsidRDefault="00C144EE" w:rsidP="00396EBC">
      <w:pPr>
        <w:numPr>
          <w:ilvl w:val="0"/>
          <w:numId w:val="23"/>
        </w:numPr>
        <w:spacing w:before="100" w:beforeAutospacing="1" w:after="100" w:afterAutospacing="1" w:line="240" w:lineRule="auto"/>
        <w:jc w:val="both"/>
        <w:rPr>
          <w:snapToGrid w:val="0"/>
          <w:lang w:val="en-GB"/>
        </w:rPr>
      </w:pPr>
      <w:r w:rsidRPr="00766A30">
        <w:rPr>
          <w:snapToGrid w:val="0"/>
        </w:rPr>
        <w:t xml:space="preserve">Respaldado en la evidencia obtenida de los siguientes estudios: </w:t>
      </w:r>
      <w:r w:rsidRPr="00766A30">
        <w:t xml:space="preserve">MRC (Medical </w:t>
      </w:r>
      <w:proofErr w:type="spellStart"/>
      <w:r w:rsidRPr="00766A30">
        <w:t>Research</w:t>
      </w:r>
      <w:proofErr w:type="spellEnd"/>
      <w:r w:rsidRPr="00766A30">
        <w:t xml:space="preserve"> Council Trial): estudio del Consejo de Investigación Médica, realizado con </w:t>
      </w:r>
      <w:proofErr w:type="spellStart"/>
      <w:r w:rsidRPr="00766A30">
        <w:t>hidroclorotiazida</w:t>
      </w:r>
      <w:proofErr w:type="spellEnd"/>
      <w:r w:rsidRPr="00766A30">
        <w:t xml:space="preserve"> y </w:t>
      </w:r>
      <w:proofErr w:type="spellStart"/>
      <w:r w:rsidRPr="00766A30">
        <w:t>atenolol</w:t>
      </w:r>
      <w:proofErr w:type="spellEnd"/>
      <w:r w:rsidRPr="00766A30">
        <w:t>. STOP HYPERTENSION 1 (</w:t>
      </w:r>
      <w:proofErr w:type="spellStart"/>
      <w:r w:rsidRPr="00766A30">
        <w:t>Swedish</w:t>
      </w:r>
      <w:proofErr w:type="spellEnd"/>
      <w:r w:rsidRPr="00766A30">
        <w:t xml:space="preserve"> Trial in Old </w:t>
      </w:r>
      <w:proofErr w:type="spellStart"/>
      <w:r w:rsidRPr="00766A30">
        <w:t>Persons</w:t>
      </w:r>
      <w:proofErr w:type="spellEnd"/>
      <w:r w:rsidRPr="00766A30">
        <w:t xml:space="preserve"> </w:t>
      </w:r>
      <w:proofErr w:type="spellStart"/>
      <w:r w:rsidRPr="00766A30">
        <w:t>with</w:t>
      </w:r>
      <w:proofErr w:type="spellEnd"/>
      <w:r w:rsidRPr="00766A30">
        <w:t xml:space="preserve"> </w:t>
      </w:r>
      <w:proofErr w:type="spellStart"/>
      <w:r w:rsidRPr="00766A30">
        <w:t>Hypertension</w:t>
      </w:r>
      <w:proofErr w:type="spellEnd"/>
      <w:r w:rsidRPr="00766A30">
        <w:t xml:space="preserve">): estudio sueco en </w:t>
      </w:r>
      <w:proofErr w:type="spellStart"/>
      <w:r w:rsidRPr="00766A30">
        <w:t>gerontes</w:t>
      </w:r>
      <w:proofErr w:type="spellEnd"/>
      <w:r w:rsidRPr="00766A30">
        <w:t xml:space="preserve"> con hipertensión arterial, usando </w:t>
      </w:r>
      <w:proofErr w:type="spellStart"/>
      <w:r w:rsidRPr="00766A30">
        <w:t>hidroclorotiazida</w:t>
      </w:r>
      <w:proofErr w:type="spellEnd"/>
      <w:r w:rsidRPr="00766A30">
        <w:t xml:space="preserve"> y </w:t>
      </w:r>
      <w:proofErr w:type="spellStart"/>
      <w:r w:rsidRPr="00766A30">
        <w:t>amilorida</w:t>
      </w:r>
      <w:proofErr w:type="spellEnd"/>
      <w:r w:rsidRPr="00766A30">
        <w:t xml:space="preserve">, </w:t>
      </w:r>
      <w:proofErr w:type="spellStart"/>
      <w:r w:rsidRPr="00766A30">
        <w:t>metoprolol</w:t>
      </w:r>
      <w:proofErr w:type="spellEnd"/>
      <w:r w:rsidRPr="00766A30">
        <w:t xml:space="preserve">, </w:t>
      </w:r>
      <w:proofErr w:type="spellStart"/>
      <w:r w:rsidRPr="00766A30">
        <w:t>atenolol</w:t>
      </w:r>
      <w:proofErr w:type="spellEnd"/>
      <w:r w:rsidRPr="00766A30">
        <w:t xml:space="preserve"> y </w:t>
      </w:r>
      <w:proofErr w:type="spellStart"/>
      <w:r w:rsidRPr="00766A30">
        <w:t>pindolol</w:t>
      </w:r>
      <w:proofErr w:type="spellEnd"/>
      <w:r w:rsidRPr="00766A30">
        <w:t xml:space="preserve">. </w:t>
      </w:r>
      <w:r w:rsidRPr="00766A30">
        <w:rPr>
          <w:lang w:val="en-GB"/>
        </w:rPr>
        <w:t xml:space="preserve">EWPHE (European Working Party on High Blood Pressure in the Elderly): </w:t>
      </w:r>
      <w:proofErr w:type="spellStart"/>
      <w:r w:rsidRPr="00766A30">
        <w:rPr>
          <w:lang w:val="en-GB"/>
        </w:rPr>
        <w:t>estudio</w:t>
      </w:r>
      <w:proofErr w:type="spellEnd"/>
      <w:r w:rsidRPr="00766A30">
        <w:rPr>
          <w:lang w:val="en-GB"/>
        </w:rPr>
        <w:t xml:space="preserve"> </w:t>
      </w:r>
      <w:proofErr w:type="spellStart"/>
      <w:r w:rsidRPr="00766A30">
        <w:rPr>
          <w:lang w:val="en-GB"/>
        </w:rPr>
        <w:t>europeo</w:t>
      </w:r>
      <w:proofErr w:type="spellEnd"/>
      <w:r w:rsidRPr="00766A30">
        <w:rPr>
          <w:lang w:val="en-GB"/>
        </w:rPr>
        <w:t xml:space="preserve"> </w:t>
      </w:r>
      <w:proofErr w:type="spellStart"/>
      <w:r w:rsidRPr="00766A30">
        <w:rPr>
          <w:lang w:val="en-GB"/>
        </w:rPr>
        <w:t>en</w:t>
      </w:r>
      <w:proofErr w:type="spellEnd"/>
      <w:r w:rsidRPr="00766A30">
        <w:rPr>
          <w:lang w:val="en-GB"/>
        </w:rPr>
        <w:t xml:space="preserve"> </w:t>
      </w:r>
      <w:proofErr w:type="spellStart"/>
      <w:r w:rsidRPr="00766A30">
        <w:rPr>
          <w:lang w:val="en-GB"/>
        </w:rPr>
        <w:t>gerontes</w:t>
      </w:r>
      <w:proofErr w:type="spellEnd"/>
      <w:r w:rsidRPr="00766A30">
        <w:rPr>
          <w:lang w:val="en-GB"/>
        </w:rPr>
        <w:t xml:space="preserve"> </w:t>
      </w:r>
      <w:proofErr w:type="spellStart"/>
      <w:r w:rsidRPr="00766A30">
        <w:rPr>
          <w:lang w:val="en-GB"/>
        </w:rPr>
        <w:t>hipertensos</w:t>
      </w:r>
      <w:proofErr w:type="spellEnd"/>
      <w:r w:rsidRPr="00766A30">
        <w:rPr>
          <w:lang w:val="en-GB"/>
        </w:rPr>
        <w:t xml:space="preserve">, con </w:t>
      </w:r>
      <w:proofErr w:type="spellStart"/>
      <w:r w:rsidRPr="00766A30">
        <w:rPr>
          <w:lang w:val="en-GB"/>
        </w:rPr>
        <w:t>hidroclorotiazida</w:t>
      </w:r>
      <w:proofErr w:type="spellEnd"/>
      <w:r w:rsidRPr="00766A30">
        <w:rPr>
          <w:lang w:val="en-GB"/>
        </w:rPr>
        <w:t xml:space="preserve"> y </w:t>
      </w:r>
      <w:proofErr w:type="spellStart"/>
      <w:r w:rsidRPr="00766A30">
        <w:rPr>
          <w:lang w:val="en-GB"/>
        </w:rPr>
        <w:t>triamtereno</w:t>
      </w:r>
      <w:proofErr w:type="spellEnd"/>
      <w:r w:rsidRPr="00766A30">
        <w:rPr>
          <w:lang w:val="en-GB"/>
        </w:rPr>
        <w:t xml:space="preserve"> </w:t>
      </w:r>
    </w:p>
    <w:p w:rsidR="00C144EE" w:rsidRPr="00766A30" w:rsidRDefault="00C144EE" w:rsidP="00396EBC">
      <w:pPr>
        <w:numPr>
          <w:ilvl w:val="0"/>
          <w:numId w:val="23"/>
        </w:numPr>
        <w:spacing w:after="0" w:line="240" w:lineRule="auto"/>
        <w:jc w:val="both"/>
        <w:rPr>
          <w:snapToGrid w:val="0"/>
        </w:rPr>
      </w:pPr>
      <w:r w:rsidRPr="00766A30">
        <w:rPr>
          <w:snapToGrid w:val="0"/>
        </w:rPr>
        <w:t>Tratamiento sintomático de la insuficiencia cardiaca.</w:t>
      </w:r>
    </w:p>
    <w:p w:rsidR="00C144EE" w:rsidRPr="00766A30" w:rsidRDefault="00C144EE" w:rsidP="00C144EE">
      <w:pPr>
        <w:tabs>
          <w:tab w:val="num" w:pos="720"/>
        </w:tabs>
        <w:ind w:left="720" w:hanging="360"/>
        <w:jc w:val="both"/>
        <w:rPr>
          <w:snapToGrid w:val="0"/>
        </w:rPr>
      </w:pPr>
      <w:r w:rsidRPr="00766A30">
        <w:rPr>
          <w:u w:val="single"/>
        </w:rPr>
        <w:t>Dosis</w:t>
      </w:r>
      <w:r w:rsidRPr="00766A30">
        <w:t>: 12,5-25mg/día.</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rPr>
      </w:pPr>
      <w:r w:rsidRPr="00766A30">
        <w:rPr>
          <w:rFonts w:cs="Arial"/>
          <w:b/>
        </w:rPr>
        <w:t xml:space="preserve"> </w:t>
      </w:r>
      <w:r w:rsidRPr="00766A30">
        <w:rPr>
          <w:rFonts w:cs="Arial"/>
          <w:b/>
          <w:i/>
          <w:color w:val="00B050"/>
        </w:rPr>
        <w:t>C03B</w:t>
      </w:r>
      <w:r w:rsidRPr="00766A30">
        <w:rPr>
          <w:rFonts w:cs="Arial"/>
          <w:b/>
          <w:i/>
          <w:color w:val="00B050"/>
        </w:rPr>
        <w:tab/>
        <w:t>DIURETICOS DE BAJO TECHO, EXCLUYENDO TIAZIDAS</w:t>
      </w:r>
    </w:p>
    <w:p w:rsidR="00C144EE" w:rsidRPr="00766A30" w:rsidRDefault="00C144EE" w:rsidP="00C144EE">
      <w:pPr>
        <w:tabs>
          <w:tab w:val="left" w:pos="1320"/>
        </w:tabs>
        <w:ind w:left="113"/>
        <w:rPr>
          <w:rFonts w:cs="Arial"/>
          <w:b/>
          <w:i/>
          <w:color w:val="00B050"/>
        </w:rPr>
      </w:pPr>
      <w:r w:rsidRPr="00766A30">
        <w:rPr>
          <w:rFonts w:cs="Arial"/>
          <w:b/>
          <w:i/>
          <w:color w:val="00B050"/>
        </w:rPr>
        <w:t>C03BA04</w:t>
      </w:r>
      <w:r w:rsidRPr="00766A30">
        <w:rPr>
          <w:rFonts w:cs="Arial"/>
          <w:b/>
          <w:i/>
          <w:color w:val="00B050"/>
        </w:rPr>
        <w:tab/>
        <w:t xml:space="preserve">CLORTALIDONA </w:t>
      </w:r>
    </w:p>
    <w:p w:rsidR="00C144EE" w:rsidRPr="00766A30" w:rsidRDefault="00C144EE" w:rsidP="00396EBC">
      <w:pPr>
        <w:numPr>
          <w:ilvl w:val="0"/>
          <w:numId w:val="24"/>
        </w:numPr>
        <w:spacing w:after="0" w:line="240" w:lineRule="auto"/>
        <w:jc w:val="both"/>
        <w:rPr>
          <w:snapToGrid w:val="0"/>
        </w:rPr>
      </w:pPr>
      <w:r w:rsidRPr="00766A30">
        <w:rPr>
          <w:snapToGrid w:val="0"/>
        </w:rPr>
        <w:t xml:space="preserve">Fármaco de elección de la hipertensión arterial esencial no controlada con medidas no </w:t>
      </w:r>
      <w:proofErr w:type="spellStart"/>
      <w:r w:rsidRPr="00766A30">
        <w:rPr>
          <w:snapToGrid w:val="0"/>
        </w:rPr>
        <w:t>farmacologicas</w:t>
      </w:r>
      <w:proofErr w:type="spellEnd"/>
      <w:r w:rsidRPr="00766A30">
        <w:rPr>
          <w:snapToGrid w:val="0"/>
        </w:rPr>
        <w:t xml:space="preserve">. </w:t>
      </w:r>
    </w:p>
    <w:p w:rsidR="00C144EE" w:rsidRPr="00766A30" w:rsidRDefault="00C144EE" w:rsidP="00396EBC">
      <w:pPr>
        <w:numPr>
          <w:ilvl w:val="0"/>
          <w:numId w:val="24"/>
        </w:numPr>
        <w:spacing w:after="0" w:line="240" w:lineRule="auto"/>
        <w:jc w:val="both"/>
        <w:rPr>
          <w:snapToGrid w:val="0"/>
        </w:rPr>
      </w:pPr>
      <w:r w:rsidRPr="00766A30">
        <w:t xml:space="preserve">El Estudio ALLHAT ensayo clínico aleatorizado, doble ciego con grupo control activo, y seguimiento desde febrero 1994 hasta marzo 2002 que reclutó 33.357 pacientes hipertensos de 55 años o más, con al menos 1 factor de riesgo (FR) asociado, comparó </w:t>
      </w:r>
      <w:proofErr w:type="spellStart"/>
      <w:r w:rsidRPr="00766A30">
        <w:t>clortalidona</w:t>
      </w:r>
      <w:proofErr w:type="spellEnd"/>
      <w:r w:rsidRPr="00766A30">
        <w:t xml:space="preserve">, </w:t>
      </w:r>
      <w:proofErr w:type="spellStart"/>
      <w:r w:rsidRPr="00766A30">
        <w:t>amlodipina</w:t>
      </w:r>
      <w:proofErr w:type="spellEnd"/>
      <w:r w:rsidRPr="00766A30">
        <w:t xml:space="preserve"> y </w:t>
      </w:r>
      <w:proofErr w:type="spellStart"/>
      <w:r w:rsidRPr="00766A30">
        <w:t>lisinopril</w:t>
      </w:r>
      <w:proofErr w:type="spellEnd"/>
      <w:r w:rsidRPr="00766A30">
        <w:t xml:space="preserve">; la variable principal fue mortalidad por enfermedad coronaria e IAM no fatal, con 4,9 años de seguimiento, concluyó que “…los diuréticos </w:t>
      </w:r>
      <w:proofErr w:type="spellStart"/>
      <w:r w:rsidRPr="00766A30">
        <w:t>tiazídicos</w:t>
      </w:r>
      <w:proofErr w:type="spellEnd"/>
      <w:r w:rsidRPr="00766A30">
        <w:t xml:space="preserve"> son superiores para prevenir una o más formas de enfermedad cardiovascular,  y son más económicos. Deben ser elegidos como primer escalón en el tratamiento de la Hipertensión Arterial…”</w:t>
      </w:r>
    </w:p>
    <w:p w:rsidR="00C144EE" w:rsidRPr="00766A30" w:rsidRDefault="00C144EE" w:rsidP="00396EBC">
      <w:pPr>
        <w:numPr>
          <w:ilvl w:val="0"/>
          <w:numId w:val="24"/>
        </w:numPr>
        <w:spacing w:after="0" w:line="240" w:lineRule="auto"/>
        <w:jc w:val="both"/>
        <w:rPr>
          <w:snapToGrid w:val="0"/>
        </w:rPr>
      </w:pPr>
      <w:r w:rsidRPr="00766A30">
        <w:rPr>
          <w:snapToGrid w:val="0"/>
        </w:rPr>
        <w:t>Tratamiento sintomático de la insuficiencia cardíaca</w:t>
      </w:r>
    </w:p>
    <w:p w:rsidR="00C144EE" w:rsidRDefault="00C144EE" w:rsidP="00C144EE">
      <w:pPr>
        <w:tabs>
          <w:tab w:val="num" w:pos="720"/>
        </w:tabs>
        <w:ind w:left="720" w:hanging="360"/>
        <w:jc w:val="both"/>
      </w:pPr>
      <w:r w:rsidRPr="00766A30">
        <w:rPr>
          <w:u w:val="single"/>
        </w:rPr>
        <w:t>Dosis</w:t>
      </w:r>
      <w:r w:rsidRPr="00766A30">
        <w:t>: 12,5-25mg/día.</w:t>
      </w:r>
    </w:p>
    <w:p w:rsidR="007F7624" w:rsidRPr="00766A30" w:rsidRDefault="007F7624" w:rsidP="00C144EE">
      <w:pPr>
        <w:tabs>
          <w:tab w:val="num" w:pos="720"/>
        </w:tabs>
        <w:ind w:left="720" w:hanging="360"/>
        <w:jc w:val="both"/>
      </w:pPr>
    </w:p>
    <w:p w:rsidR="007F7624" w:rsidRPr="007F7624" w:rsidRDefault="007F7624" w:rsidP="007F7624">
      <w:pPr>
        <w:tabs>
          <w:tab w:val="left" w:pos="1161"/>
        </w:tabs>
        <w:ind w:left="50"/>
        <w:rPr>
          <w:rFonts w:cs="Arial"/>
          <w:b/>
          <w:i/>
          <w:color w:val="00B050"/>
        </w:rPr>
      </w:pPr>
      <w:r w:rsidRPr="007F7624">
        <w:rPr>
          <w:rFonts w:cs="Arial"/>
          <w:b/>
          <w:i/>
          <w:color w:val="00B050"/>
        </w:rPr>
        <w:t>C03BA11</w:t>
      </w:r>
      <w:r w:rsidRPr="007F7624">
        <w:rPr>
          <w:rFonts w:cs="Arial"/>
          <w:b/>
          <w:i/>
          <w:color w:val="00B050"/>
        </w:rPr>
        <w:tab/>
        <w:t xml:space="preserve">INDAPAMIDA </w:t>
      </w:r>
    </w:p>
    <w:p w:rsidR="007F7624" w:rsidRPr="007F7624" w:rsidRDefault="007F7624" w:rsidP="00396EBC">
      <w:pPr>
        <w:numPr>
          <w:ilvl w:val="0"/>
          <w:numId w:val="74"/>
        </w:numPr>
        <w:spacing w:after="0" w:line="240" w:lineRule="auto"/>
        <w:jc w:val="both"/>
        <w:rPr>
          <w:rFonts w:cs="Arial"/>
        </w:rPr>
      </w:pPr>
      <w:r w:rsidRPr="007F7624">
        <w:rPr>
          <w:rFonts w:cs="Arial"/>
        </w:rPr>
        <w:t xml:space="preserve">Diurético con actividad sobre resistencia periférica de alternativa, para el manejo de la hipertensión arterial esencial y la insuficiencia cardiaca en pacientes con </w:t>
      </w:r>
      <w:proofErr w:type="spellStart"/>
      <w:r w:rsidRPr="007F7624">
        <w:rPr>
          <w:rFonts w:cs="Arial"/>
        </w:rPr>
        <w:t>hiperlipoproteinemia</w:t>
      </w:r>
      <w:proofErr w:type="spellEnd"/>
      <w:r w:rsidRPr="007F7624">
        <w:rPr>
          <w:rFonts w:cs="Arial"/>
        </w:rPr>
        <w:t xml:space="preserve"> no controlada debido a la ventaja de no afectar los niveles de </w:t>
      </w:r>
      <w:proofErr w:type="spellStart"/>
      <w:r w:rsidRPr="007F7624">
        <w:rPr>
          <w:rFonts w:cs="Arial"/>
        </w:rPr>
        <w:t>lipoproteinas</w:t>
      </w:r>
      <w:proofErr w:type="spellEnd"/>
      <w:r w:rsidRPr="007F7624">
        <w:rPr>
          <w:rFonts w:cs="Arial"/>
        </w:rPr>
        <w:t xml:space="preserve"> de baja densidad que posee este fármaco.</w:t>
      </w:r>
    </w:p>
    <w:p w:rsidR="007F7624" w:rsidRPr="007F7624" w:rsidRDefault="007F7624" w:rsidP="007F7624">
      <w:pPr>
        <w:tabs>
          <w:tab w:val="num" w:pos="720"/>
        </w:tabs>
        <w:ind w:left="720" w:hanging="360"/>
        <w:jc w:val="both"/>
        <w:rPr>
          <w:rFonts w:cs="Arial"/>
          <w:bCs/>
        </w:rPr>
      </w:pPr>
      <w:r w:rsidRPr="007F7624">
        <w:rPr>
          <w:rFonts w:cs="Arial"/>
          <w:bCs/>
          <w:u w:val="single"/>
        </w:rPr>
        <w:t>Dosis:</w:t>
      </w:r>
      <w:r w:rsidRPr="007F7624">
        <w:rPr>
          <w:rFonts w:cs="Arial"/>
          <w:bCs/>
        </w:rPr>
        <w:t xml:space="preserve"> 1,25-2,50 mg/día en una toma.</w:t>
      </w:r>
    </w:p>
    <w:p w:rsidR="00C144EE" w:rsidRPr="00766A30" w:rsidRDefault="00C144EE" w:rsidP="00C144EE">
      <w:pPr>
        <w:tabs>
          <w:tab w:val="num" w:pos="720"/>
        </w:tabs>
        <w:ind w:left="720" w:hanging="360"/>
        <w:jc w:val="both"/>
        <w:rPr>
          <w:snapToGrid w:val="0"/>
        </w:rPr>
      </w:pPr>
    </w:p>
    <w:p w:rsidR="00C144EE" w:rsidRPr="00766A30" w:rsidRDefault="00C144EE" w:rsidP="00C144EE">
      <w:pPr>
        <w:tabs>
          <w:tab w:val="left" w:pos="1320"/>
        </w:tabs>
        <w:ind w:left="113"/>
        <w:rPr>
          <w:rFonts w:cs="Arial"/>
          <w:b/>
          <w:i/>
          <w:color w:val="00B050"/>
        </w:rPr>
      </w:pPr>
      <w:r w:rsidRPr="00766A30">
        <w:rPr>
          <w:rFonts w:cs="Arial"/>
          <w:b/>
          <w:i/>
          <w:color w:val="00B050"/>
        </w:rPr>
        <w:t>C03DA</w:t>
      </w:r>
      <w:r w:rsidRPr="00766A30">
        <w:rPr>
          <w:rFonts w:cs="Arial"/>
          <w:b/>
          <w:i/>
          <w:color w:val="00B050"/>
        </w:rPr>
        <w:tab/>
        <w:t>ANTAGONISTAS DE LA ALDOSTERONA</w:t>
      </w:r>
    </w:p>
    <w:p w:rsidR="00C144EE" w:rsidRPr="00766A30" w:rsidRDefault="00C144EE" w:rsidP="00C144EE">
      <w:pPr>
        <w:tabs>
          <w:tab w:val="left" w:pos="1320"/>
        </w:tabs>
        <w:ind w:left="113"/>
        <w:rPr>
          <w:rFonts w:cs="Arial"/>
          <w:b/>
          <w:i/>
          <w:color w:val="00B050"/>
        </w:rPr>
      </w:pPr>
      <w:r w:rsidRPr="00766A30">
        <w:rPr>
          <w:rFonts w:cs="Arial"/>
          <w:b/>
          <w:i/>
          <w:color w:val="00B050"/>
        </w:rPr>
        <w:t>C03DA01</w:t>
      </w:r>
      <w:r w:rsidRPr="00766A30">
        <w:rPr>
          <w:rFonts w:cs="Arial"/>
          <w:b/>
          <w:i/>
          <w:color w:val="00B050"/>
        </w:rPr>
        <w:tab/>
        <w:t xml:space="preserve">ESPIRONOLACTONA </w:t>
      </w:r>
    </w:p>
    <w:p w:rsidR="00C144EE" w:rsidRPr="00766A30" w:rsidRDefault="00C144EE" w:rsidP="00396EBC">
      <w:pPr>
        <w:numPr>
          <w:ilvl w:val="0"/>
          <w:numId w:val="25"/>
        </w:numPr>
        <w:spacing w:after="0" w:line="240" w:lineRule="auto"/>
        <w:jc w:val="both"/>
        <w:rPr>
          <w:snapToGrid w:val="0"/>
        </w:rPr>
      </w:pPr>
      <w:r w:rsidRPr="00766A30">
        <w:rPr>
          <w:snapToGrid w:val="0"/>
        </w:rPr>
        <w:t xml:space="preserve">Tratamiento de la insuficiencia cardiaca congestiva de grado severo, donde la </w:t>
      </w:r>
      <w:proofErr w:type="spellStart"/>
      <w:r w:rsidRPr="00766A30">
        <w:rPr>
          <w:snapToGrid w:val="0"/>
        </w:rPr>
        <w:t>espironolactona</w:t>
      </w:r>
      <w:proofErr w:type="spellEnd"/>
      <w:r w:rsidRPr="00766A30">
        <w:rPr>
          <w:snapToGrid w:val="0"/>
        </w:rPr>
        <w:t xml:space="preserve"> ha demostrado disminución de la morbilidad (reducción de la tasa de hospitalizaciones y de las complicaciones con adecuado control sintomático) y de la mortalidad. </w:t>
      </w:r>
    </w:p>
    <w:p w:rsidR="00C144EE" w:rsidRPr="00766A30" w:rsidRDefault="00C144EE" w:rsidP="00396EBC">
      <w:pPr>
        <w:numPr>
          <w:ilvl w:val="0"/>
          <w:numId w:val="25"/>
        </w:numPr>
        <w:spacing w:after="0" w:line="240" w:lineRule="auto"/>
        <w:jc w:val="both"/>
        <w:rPr>
          <w:snapToGrid w:val="0"/>
        </w:rPr>
      </w:pPr>
      <w:r w:rsidRPr="00766A30">
        <w:rPr>
          <w:snapToGrid w:val="0"/>
        </w:rPr>
        <w:t xml:space="preserve">Tratamiento del </w:t>
      </w:r>
      <w:proofErr w:type="spellStart"/>
      <w:r w:rsidRPr="00766A30">
        <w:rPr>
          <w:snapToGrid w:val="0"/>
        </w:rPr>
        <w:t>aldosteronismo</w:t>
      </w:r>
      <w:proofErr w:type="spellEnd"/>
      <w:r w:rsidRPr="00766A30">
        <w:rPr>
          <w:snapToGrid w:val="0"/>
        </w:rPr>
        <w:t xml:space="preserve"> primario.</w:t>
      </w:r>
    </w:p>
    <w:p w:rsidR="00C144EE" w:rsidRPr="00766A30" w:rsidRDefault="00C144EE" w:rsidP="00C144EE">
      <w:pPr>
        <w:tabs>
          <w:tab w:val="num" w:pos="720"/>
        </w:tabs>
        <w:ind w:left="720" w:hanging="360"/>
        <w:jc w:val="both"/>
        <w:rPr>
          <w:snapToGrid w:val="0"/>
        </w:rPr>
      </w:pPr>
      <w:r w:rsidRPr="00766A30">
        <w:rPr>
          <w:snapToGrid w:val="0"/>
          <w:u w:val="single"/>
        </w:rPr>
        <w:t>Dosis</w:t>
      </w:r>
      <w:r w:rsidRPr="00766A30">
        <w:rPr>
          <w:snapToGrid w:val="0"/>
        </w:rPr>
        <w:t>: 25-200 mg/día.</w:t>
      </w:r>
    </w:p>
    <w:p w:rsidR="002938C8" w:rsidRPr="002938C8" w:rsidRDefault="002938C8" w:rsidP="002938C8">
      <w:pPr>
        <w:tabs>
          <w:tab w:val="left" w:pos="1161"/>
        </w:tabs>
        <w:ind w:left="50"/>
        <w:rPr>
          <w:rFonts w:cs="Arial"/>
          <w:b/>
          <w:bCs/>
          <w:i/>
          <w:color w:val="00B050"/>
        </w:rPr>
      </w:pPr>
      <w:r w:rsidRPr="002938C8">
        <w:rPr>
          <w:rFonts w:cs="Arial"/>
          <w:b/>
          <w:i/>
          <w:color w:val="00B050"/>
        </w:rPr>
        <w:t>C04</w:t>
      </w:r>
      <w:r w:rsidRPr="002938C8">
        <w:rPr>
          <w:rFonts w:cs="Arial"/>
          <w:b/>
          <w:i/>
          <w:color w:val="00B050"/>
        </w:rPr>
        <w:tab/>
      </w:r>
      <w:r w:rsidRPr="002938C8">
        <w:rPr>
          <w:rFonts w:cs="Arial"/>
          <w:b/>
          <w:bCs/>
          <w:i/>
          <w:color w:val="00B050"/>
        </w:rPr>
        <w:t>VASODILATADORES PERIFERICOS</w:t>
      </w:r>
    </w:p>
    <w:p w:rsidR="002938C8" w:rsidRPr="002938C8" w:rsidRDefault="002938C8" w:rsidP="002938C8">
      <w:pPr>
        <w:tabs>
          <w:tab w:val="left" w:pos="1161"/>
        </w:tabs>
        <w:ind w:left="50"/>
        <w:rPr>
          <w:rFonts w:cs="Arial"/>
          <w:b/>
          <w:i/>
          <w:color w:val="00B050"/>
        </w:rPr>
      </w:pPr>
      <w:r w:rsidRPr="002938C8">
        <w:rPr>
          <w:rFonts w:cs="Arial"/>
          <w:b/>
          <w:i/>
          <w:color w:val="00B050"/>
        </w:rPr>
        <w:lastRenderedPageBreak/>
        <w:t>C04AD03</w:t>
      </w:r>
      <w:r w:rsidRPr="002938C8">
        <w:rPr>
          <w:rFonts w:cs="Arial"/>
          <w:b/>
          <w:i/>
          <w:color w:val="00B050"/>
        </w:rPr>
        <w:tab/>
        <w:t xml:space="preserve">PENTOXIFILINA </w:t>
      </w:r>
    </w:p>
    <w:p w:rsidR="002938C8" w:rsidRPr="002938C8" w:rsidRDefault="002938C8" w:rsidP="00396EBC">
      <w:pPr>
        <w:numPr>
          <w:ilvl w:val="0"/>
          <w:numId w:val="74"/>
        </w:numPr>
        <w:spacing w:after="0" w:line="240" w:lineRule="auto"/>
        <w:jc w:val="both"/>
        <w:rPr>
          <w:rFonts w:cs="Arial"/>
        </w:rPr>
      </w:pPr>
      <w:r w:rsidRPr="002938C8">
        <w:rPr>
          <w:rFonts w:cs="Arial"/>
        </w:rPr>
        <w:t xml:space="preserve">Claudicación intermitente en pacientes con </w:t>
      </w:r>
      <w:proofErr w:type="spellStart"/>
      <w:r w:rsidRPr="002938C8">
        <w:rPr>
          <w:rFonts w:cs="Arial"/>
        </w:rPr>
        <w:t>arteriopatía</w:t>
      </w:r>
      <w:proofErr w:type="spellEnd"/>
      <w:r w:rsidRPr="002938C8">
        <w:rPr>
          <w:rFonts w:cs="Arial"/>
        </w:rPr>
        <w:t xml:space="preserve"> periférica severa que no son pasibles de procedimientos invasivos (</w:t>
      </w:r>
      <w:proofErr w:type="spellStart"/>
      <w:r w:rsidRPr="002938C8">
        <w:rPr>
          <w:rFonts w:cs="Arial"/>
        </w:rPr>
        <w:t>angioplastía</w:t>
      </w:r>
      <w:proofErr w:type="spellEnd"/>
      <w:r w:rsidRPr="002938C8">
        <w:rPr>
          <w:rFonts w:cs="Arial"/>
        </w:rPr>
        <w:t>, revascularización, recanalización quirúrgica).</w:t>
      </w:r>
    </w:p>
    <w:p w:rsidR="002938C8" w:rsidRPr="002938C8" w:rsidRDefault="002938C8" w:rsidP="002938C8">
      <w:pPr>
        <w:ind w:left="360"/>
        <w:jc w:val="both"/>
        <w:rPr>
          <w:rFonts w:cs="Arial"/>
        </w:rPr>
      </w:pPr>
      <w:r w:rsidRPr="002938C8">
        <w:rPr>
          <w:rFonts w:cs="Arial"/>
          <w:u w:val="single"/>
        </w:rPr>
        <w:t>Dosis:</w:t>
      </w:r>
      <w:r w:rsidRPr="002938C8">
        <w:rPr>
          <w:rFonts w:cs="Arial"/>
        </w:rPr>
        <w:t xml:space="preserve"> 400 mg cada 8-12 horas por vía oral.</w:t>
      </w:r>
    </w:p>
    <w:p w:rsidR="00C93DD5" w:rsidRPr="00C93DD5" w:rsidRDefault="00C93DD5" w:rsidP="00C93DD5">
      <w:pPr>
        <w:tabs>
          <w:tab w:val="left" w:pos="1320"/>
        </w:tabs>
        <w:ind w:left="113"/>
        <w:rPr>
          <w:rFonts w:cs="Arial"/>
          <w:b/>
          <w:bCs/>
          <w:i/>
          <w:color w:val="00B050"/>
        </w:rPr>
      </w:pPr>
      <w:r w:rsidRPr="00C93DD5">
        <w:rPr>
          <w:rFonts w:cs="Arial"/>
          <w:b/>
          <w:i/>
          <w:color w:val="00B050"/>
        </w:rPr>
        <w:t>C07</w:t>
      </w:r>
      <w:r w:rsidRPr="00C93DD5">
        <w:rPr>
          <w:rFonts w:cs="Arial"/>
          <w:b/>
          <w:i/>
          <w:color w:val="00B050"/>
        </w:rPr>
        <w:tab/>
      </w:r>
      <w:r w:rsidRPr="00C93DD5">
        <w:rPr>
          <w:rFonts w:cs="Arial"/>
          <w:b/>
          <w:bCs/>
          <w:i/>
          <w:color w:val="00B050"/>
        </w:rPr>
        <w:t>AGENTES BETA BLOQUEANTES</w:t>
      </w:r>
    </w:p>
    <w:p w:rsidR="00C93DD5" w:rsidRPr="00C93DD5" w:rsidRDefault="00C93DD5" w:rsidP="00C93DD5">
      <w:pPr>
        <w:tabs>
          <w:tab w:val="left" w:pos="1161"/>
        </w:tabs>
        <w:ind w:left="50"/>
        <w:rPr>
          <w:rFonts w:cs="Arial"/>
          <w:b/>
          <w:i/>
          <w:color w:val="00B050"/>
        </w:rPr>
      </w:pPr>
      <w:r w:rsidRPr="00C93DD5">
        <w:rPr>
          <w:rFonts w:cs="Arial"/>
          <w:b/>
          <w:i/>
          <w:color w:val="00B050"/>
        </w:rPr>
        <w:t>C07AB02</w:t>
      </w:r>
      <w:r w:rsidRPr="00C93DD5">
        <w:rPr>
          <w:rFonts w:cs="Arial"/>
          <w:b/>
          <w:i/>
          <w:color w:val="00B050"/>
        </w:rPr>
        <w:tab/>
        <w:t xml:space="preserve">  METOPROLOL </w:t>
      </w:r>
    </w:p>
    <w:p w:rsidR="00C93DD5" w:rsidRPr="00C93DD5" w:rsidRDefault="00C93DD5" w:rsidP="00396EBC">
      <w:pPr>
        <w:numPr>
          <w:ilvl w:val="0"/>
          <w:numId w:val="75"/>
        </w:numPr>
        <w:spacing w:after="0" w:line="240" w:lineRule="auto"/>
        <w:jc w:val="both"/>
        <w:rPr>
          <w:rFonts w:cs="Arial"/>
        </w:rPr>
      </w:pPr>
      <w:r w:rsidRPr="00C93DD5">
        <w:rPr>
          <w:rFonts w:cs="Arial"/>
        </w:rPr>
        <w:t>Tratamiento alternativo para casos seleccionados de la insuficiencia cardiaca clase funcional II-IV asociada a cardiopatía isquémica y/o hipertensión arterial y/o miocardiopatía indicada por especialista. Dosis: inicial 12,5 mg en una sola toma diaria por 2 semanas y luego duplicarla y evaluar respuesta; máxima 200 mg/día.</w:t>
      </w:r>
    </w:p>
    <w:p w:rsidR="00C93DD5" w:rsidRPr="00C93DD5" w:rsidRDefault="00C93DD5" w:rsidP="00396EBC">
      <w:pPr>
        <w:numPr>
          <w:ilvl w:val="0"/>
          <w:numId w:val="75"/>
        </w:numPr>
        <w:spacing w:after="0" w:line="240" w:lineRule="auto"/>
        <w:jc w:val="both"/>
        <w:rPr>
          <w:rFonts w:cs="Arial"/>
        </w:rPr>
      </w:pPr>
      <w:r w:rsidRPr="00C93DD5">
        <w:rPr>
          <w:rFonts w:cs="Arial"/>
        </w:rPr>
        <w:t xml:space="preserve">Beta-bloqueante </w:t>
      </w:r>
      <w:proofErr w:type="spellStart"/>
      <w:r w:rsidRPr="00C93DD5">
        <w:rPr>
          <w:rFonts w:cs="Arial"/>
        </w:rPr>
        <w:t>cardioselectivo</w:t>
      </w:r>
      <w:proofErr w:type="spellEnd"/>
      <w:r w:rsidRPr="00C93DD5">
        <w:rPr>
          <w:rFonts w:cs="Arial"/>
        </w:rPr>
        <w:t xml:space="preserve"> de alternativa al </w:t>
      </w:r>
      <w:proofErr w:type="spellStart"/>
      <w:r w:rsidRPr="00C93DD5">
        <w:rPr>
          <w:rFonts w:cs="Arial"/>
        </w:rPr>
        <w:t>atenolol</w:t>
      </w:r>
      <w:proofErr w:type="spellEnd"/>
      <w:r w:rsidRPr="00C93DD5">
        <w:rPr>
          <w:rFonts w:cs="Arial"/>
        </w:rPr>
        <w:t xml:space="preserve"> ante fallo o intolerancia. Dosis: 50-100 mg una vez al día. </w:t>
      </w:r>
    </w:p>
    <w:p w:rsidR="00C93DD5" w:rsidRPr="00C93DD5" w:rsidRDefault="00C93DD5" w:rsidP="00C93DD5">
      <w:pPr>
        <w:jc w:val="both"/>
        <w:rPr>
          <w:rFonts w:cs="Arial"/>
        </w:rPr>
      </w:pPr>
    </w:p>
    <w:p w:rsidR="00C93DD5" w:rsidRPr="00C93DD5" w:rsidRDefault="00C93DD5" w:rsidP="00C93DD5">
      <w:pPr>
        <w:tabs>
          <w:tab w:val="left" w:pos="1320"/>
        </w:tabs>
        <w:ind w:left="113"/>
        <w:rPr>
          <w:rFonts w:cs="Arial"/>
          <w:b/>
          <w:i/>
          <w:color w:val="00B050"/>
        </w:rPr>
      </w:pPr>
      <w:r w:rsidRPr="00C93DD5">
        <w:rPr>
          <w:rFonts w:cs="Arial"/>
          <w:b/>
          <w:i/>
          <w:color w:val="00B050"/>
        </w:rPr>
        <w:t xml:space="preserve">C07AB07  BISOPROLOL  </w:t>
      </w:r>
    </w:p>
    <w:p w:rsidR="00C93DD5" w:rsidRPr="00C93DD5" w:rsidRDefault="00C93DD5" w:rsidP="00396EBC">
      <w:pPr>
        <w:numPr>
          <w:ilvl w:val="0"/>
          <w:numId w:val="26"/>
        </w:numPr>
        <w:spacing w:after="0" w:line="240" w:lineRule="auto"/>
        <w:jc w:val="both"/>
        <w:rPr>
          <w:snapToGrid w:val="0"/>
        </w:rPr>
      </w:pPr>
      <w:r w:rsidRPr="00C93DD5">
        <w:rPr>
          <w:snapToGrid w:val="0"/>
        </w:rPr>
        <w:t>Pacientes con insuficiencia cardiaca congestiva (ICC) moderada a severa (clase funcional II-III) con disfunción ventricular  y fracción de eyección igual o menor al 35 %.</w:t>
      </w:r>
    </w:p>
    <w:p w:rsidR="00C93DD5" w:rsidRPr="00C93DD5" w:rsidRDefault="00C93DD5" w:rsidP="00396EBC">
      <w:pPr>
        <w:numPr>
          <w:ilvl w:val="0"/>
          <w:numId w:val="26"/>
        </w:numPr>
        <w:spacing w:after="0" w:line="240" w:lineRule="auto"/>
        <w:jc w:val="both"/>
        <w:rPr>
          <w:snapToGrid w:val="0"/>
        </w:rPr>
      </w:pPr>
      <w:r w:rsidRPr="00C93DD5">
        <w:rPr>
          <w:snapToGrid w:val="0"/>
        </w:rPr>
        <w:t>Pacientes con disfunción ventricular izquierda consecutiva a IAM, donde el fármaco ha probado reducir la mortalidad  de origen CV y global.</w:t>
      </w:r>
    </w:p>
    <w:p w:rsidR="00C93DD5" w:rsidRPr="00C93DD5" w:rsidRDefault="00C93DD5" w:rsidP="00396EBC">
      <w:pPr>
        <w:numPr>
          <w:ilvl w:val="0"/>
          <w:numId w:val="26"/>
        </w:numPr>
        <w:spacing w:after="0" w:line="240" w:lineRule="auto"/>
        <w:jc w:val="both"/>
        <w:rPr>
          <w:snapToGrid w:val="0"/>
        </w:rPr>
      </w:pPr>
      <w:r w:rsidRPr="00C93DD5">
        <w:rPr>
          <w:snapToGrid w:val="0"/>
        </w:rPr>
        <w:t>Pacientes con insuficiencia cardiaca posterior a infarto agudo de miocardio (IAM) y disfunción ventricular con una fracción de eyección ventricular izquierda igual o menor al 40%.</w:t>
      </w:r>
    </w:p>
    <w:p w:rsidR="00C93DD5" w:rsidRPr="00C93DD5" w:rsidRDefault="00C93DD5" w:rsidP="00C93DD5">
      <w:pPr>
        <w:tabs>
          <w:tab w:val="num" w:pos="720"/>
        </w:tabs>
        <w:ind w:left="720" w:hanging="360"/>
        <w:jc w:val="both"/>
        <w:rPr>
          <w:snapToGrid w:val="0"/>
          <w:u w:val="single"/>
        </w:rPr>
      </w:pPr>
    </w:p>
    <w:p w:rsidR="00C93DD5" w:rsidRPr="00C93DD5" w:rsidRDefault="00C93DD5" w:rsidP="00C93DD5">
      <w:pPr>
        <w:tabs>
          <w:tab w:val="num" w:pos="720"/>
        </w:tabs>
        <w:ind w:left="720" w:hanging="360"/>
        <w:jc w:val="both"/>
        <w:rPr>
          <w:snapToGrid w:val="0"/>
        </w:rPr>
      </w:pPr>
      <w:r w:rsidRPr="00C93DD5">
        <w:rPr>
          <w:snapToGrid w:val="0"/>
          <w:u w:val="single"/>
        </w:rPr>
        <w:t>Dosis:</w:t>
      </w:r>
      <w:r w:rsidRPr="00C93DD5">
        <w:rPr>
          <w:snapToGrid w:val="0"/>
        </w:rPr>
        <w:t xml:space="preserve"> 1,25 – 5 mg /día. Dosis máxima: 10 mg/día.</w:t>
      </w:r>
    </w:p>
    <w:p w:rsidR="00C144EE" w:rsidRPr="00766A30" w:rsidRDefault="00C144EE" w:rsidP="00C144EE">
      <w:pPr>
        <w:tabs>
          <w:tab w:val="left" w:pos="1320"/>
        </w:tabs>
        <w:ind w:left="113"/>
        <w:rPr>
          <w:rFonts w:cs="Arial"/>
          <w:color w:val="00B050"/>
        </w:rPr>
      </w:pPr>
    </w:p>
    <w:p w:rsidR="00C144EE" w:rsidRPr="00766A30" w:rsidRDefault="00C144EE" w:rsidP="00C144EE">
      <w:pPr>
        <w:tabs>
          <w:tab w:val="left" w:pos="1320"/>
        </w:tabs>
        <w:ind w:left="113"/>
        <w:rPr>
          <w:rFonts w:cs="Arial"/>
          <w:b/>
          <w:i/>
          <w:color w:val="00B050"/>
        </w:rPr>
      </w:pPr>
      <w:r w:rsidRPr="00766A30">
        <w:rPr>
          <w:rFonts w:cs="Arial"/>
          <w:b/>
          <w:i/>
          <w:color w:val="00B050"/>
        </w:rPr>
        <w:t>C07AG</w:t>
      </w:r>
      <w:r w:rsidRPr="00766A30">
        <w:rPr>
          <w:rFonts w:cs="Arial"/>
          <w:b/>
          <w:i/>
          <w:color w:val="00B050"/>
        </w:rPr>
        <w:tab/>
        <w:t>AGENTES ALFA Y BETA BLOQUEANTES</w:t>
      </w:r>
    </w:p>
    <w:p w:rsidR="00C144EE" w:rsidRPr="00766A30" w:rsidRDefault="00C144EE" w:rsidP="00C144EE">
      <w:pPr>
        <w:tabs>
          <w:tab w:val="left" w:pos="1320"/>
        </w:tabs>
        <w:ind w:left="113"/>
        <w:rPr>
          <w:rFonts w:cs="Arial"/>
          <w:b/>
          <w:i/>
          <w:color w:val="00B050"/>
        </w:rPr>
      </w:pPr>
      <w:r w:rsidRPr="00766A30">
        <w:rPr>
          <w:rFonts w:cs="Arial"/>
          <w:b/>
          <w:i/>
          <w:color w:val="00B050"/>
        </w:rPr>
        <w:t xml:space="preserve">C07AG02  CARVEDILOL  </w:t>
      </w:r>
    </w:p>
    <w:p w:rsidR="00C144EE" w:rsidRPr="00766A30" w:rsidRDefault="00C144EE" w:rsidP="00396EBC">
      <w:pPr>
        <w:numPr>
          <w:ilvl w:val="0"/>
          <w:numId w:val="26"/>
        </w:numPr>
        <w:spacing w:after="0" w:line="240" w:lineRule="auto"/>
        <w:jc w:val="both"/>
        <w:rPr>
          <w:snapToGrid w:val="0"/>
        </w:rPr>
      </w:pPr>
      <w:r w:rsidRPr="00766A30">
        <w:rPr>
          <w:snapToGrid w:val="0"/>
        </w:rPr>
        <w:t>Pacientes con insuficiencia cardiaca congestiva (ICC) moderada a severa (clase funcional II-III) con disfunción ventricular  y fracción de eyección igual o menor al 35 %.</w:t>
      </w:r>
    </w:p>
    <w:p w:rsidR="00C144EE" w:rsidRPr="00766A30" w:rsidRDefault="00C144EE" w:rsidP="00396EBC">
      <w:pPr>
        <w:numPr>
          <w:ilvl w:val="0"/>
          <w:numId w:val="26"/>
        </w:numPr>
        <w:spacing w:after="0" w:line="240" w:lineRule="auto"/>
        <w:jc w:val="both"/>
        <w:rPr>
          <w:snapToGrid w:val="0"/>
        </w:rPr>
      </w:pPr>
      <w:r w:rsidRPr="00766A30">
        <w:rPr>
          <w:snapToGrid w:val="0"/>
        </w:rPr>
        <w:t xml:space="preserve">Pacientes con disfunción ventricular izquierda consecutiva a IAM, donde el fármaco ha probado reducir la mortalidad  de origen CV y global y la tasa de </w:t>
      </w:r>
      <w:proofErr w:type="spellStart"/>
      <w:r w:rsidRPr="00766A30">
        <w:rPr>
          <w:snapToGrid w:val="0"/>
        </w:rPr>
        <w:t>reinfartos</w:t>
      </w:r>
      <w:proofErr w:type="spellEnd"/>
      <w:r w:rsidRPr="00766A30">
        <w:rPr>
          <w:snapToGrid w:val="0"/>
        </w:rPr>
        <w:t xml:space="preserve"> no fatales. </w:t>
      </w:r>
    </w:p>
    <w:p w:rsidR="00C144EE" w:rsidRPr="00766A30" w:rsidRDefault="00C144EE" w:rsidP="00396EBC">
      <w:pPr>
        <w:numPr>
          <w:ilvl w:val="0"/>
          <w:numId w:val="26"/>
        </w:numPr>
        <w:spacing w:after="0" w:line="240" w:lineRule="auto"/>
        <w:jc w:val="both"/>
        <w:rPr>
          <w:snapToGrid w:val="0"/>
        </w:rPr>
      </w:pPr>
      <w:r w:rsidRPr="00766A30">
        <w:rPr>
          <w:snapToGrid w:val="0"/>
        </w:rPr>
        <w:t>Pacientes con insuficiencia cardiaca posterior a infarto agudo de miocardio (IAM) y disfunción ventricular con una fracción de eyección ventricular izquierda igual o menor al 40%.</w:t>
      </w:r>
    </w:p>
    <w:p w:rsidR="00C144EE" w:rsidRPr="00766A30" w:rsidRDefault="00C144EE" w:rsidP="00396EBC">
      <w:pPr>
        <w:numPr>
          <w:ilvl w:val="0"/>
          <w:numId w:val="26"/>
        </w:numPr>
        <w:spacing w:after="0" w:line="240" w:lineRule="auto"/>
        <w:jc w:val="both"/>
        <w:rPr>
          <w:snapToGrid w:val="0"/>
        </w:rPr>
      </w:pPr>
      <w:r w:rsidRPr="00766A30">
        <w:rPr>
          <w:snapToGrid w:val="0"/>
        </w:rPr>
        <w:t>Pacientes con indicación electiva para beta bloqueantes (hipertensión arterial, enfermedad coronaria) y que presentan contraindicaciones definidas a los betabloqueantes puros (</w:t>
      </w:r>
      <w:proofErr w:type="spellStart"/>
      <w:r w:rsidRPr="00766A30">
        <w:rPr>
          <w:snapToGrid w:val="0"/>
        </w:rPr>
        <w:t>arteriopatía</w:t>
      </w:r>
      <w:proofErr w:type="spellEnd"/>
      <w:r w:rsidRPr="00766A30">
        <w:rPr>
          <w:snapToGrid w:val="0"/>
        </w:rPr>
        <w:t xml:space="preserve"> periférica - enfermedad de </w:t>
      </w:r>
      <w:proofErr w:type="spellStart"/>
      <w:r w:rsidRPr="00766A30">
        <w:rPr>
          <w:snapToGrid w:val="0"/>
        </w:rPr>
        <w:t>Raynaud</w:t>
      </w:r>
      <w:proofErr w:type="spellEnd"/>
      <w:r w:rsidRPr="00766A30">
        <w:rPr>
          <w:snapToGrid w:val="0"/>
        </w:rPr>
        <w:t xml:space="preserve"> o síndrome de </w:t>
      </w:r>
      <w:proofErr w:type="spellStart"/>
      <w:r w:rsidRPr="00766A30">
        <w:rPr>
          <w:snapToGrid w:val="0"/>
        </w:rPr>
        <w:t>Leriche</w:t>
      </w:r>
      <w:proofErr w:type="spellEnd"/>
      <w:r w:rsidRPr="00766A30">
        <w:rPr>
          <w:snapToGrid w:val="0"/>
        </w:rPr>
        <w:t>)</w:t>
      </w:r>
    </w:p>
    <w:p w:rsidR="00C144EE" w:rsidRPr="00766A30" w:rsidRDefault="00C144EE" w:rsidP="00C144EE">
      <w:pPr>
        <w:tabs>
          <w:tab w:val="num" w:pos="720"/>
        </w:tabs>
        <w:ind w:left="720" w:hanging="360"/>
        <w:jc w:val="both"/>
        <w:rPr>
          <w:snapToGrid w:val="0"/>
        </w:rPr>
      </w:pPr>
      <w:r w:rsidRPr="00766A30">
        <w:rPr>
          <w:snapToGrid w:val="0"/>
          <w:u w:val="single"/>
        </w:rPr>
        <w:t>Dosis:</w:t>
      </w:r>
      <w:r w:rsidRPr="00766A30">
        <w:rPr>
          <w:snapToGrid w:val="0"/>
        </w:rPr>
        <w:t xml:space="preserve"> 6,25 – 25 mg /día. Dosis máxima: 50 mg/día.</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bCs/>
          <w:i/>
          <w:color w:val="00B050"/>
        </w:rPr>
      </w:pPr>
      <w:r w:rsidRPr="00766A30">
        <w:rPr>
          <w:rFonts w:cs="Arial"/>
          <w:b/>
          <w:i/>
          <w:color w:val="00B050"/>
        </w:rPr>
        <w:lastRenderedPageBreak/>
        <w:t>C08</w:t>
      </w:r>
      <w:r w:rsidRPr="00766A30">
        <w:rPr>
          <w:rFonts w:cs="Arial"/>
          <w:b/>
          <w:i/>
          <w:color w:val="00B050"/>
        </w:rPr>
        <w:tab/>
      </w:r>
      <w:r w:rsidRPr="00766A30">
        <w:rPr>
          <w:rFonts w:cs="Arial"/>
          <w:b/>
          <w:bCs/>
          <w:i/>
          <w:color w:val="00B050"/>
        </w:rPr>
        <w:t>BLOQUEANTES DE LOS CANALES DE CALCIO</w:t>
      </w:r>
    </w:p>
    <w:p w:rsidR="00C144EE" w:rsidRPr="00766A30" w:rsidRDefault="00C144EE" w:rsidP="00C144EE">
      <w:pPr>
        <w:tabs>
          <w:tab w:val="left" w:pos="1320"/>
        </w:tabs>
        <w:ind w:left="113"/>
        <w:jc w:val="both"/>
        <w:rPr>
          <w:rFonts w:cs="Arial"/>
        </w:rPr>
      </w:pPr>
      <w:r w:rsidRPr="00766A30">
        <w:rPr>
          <w:rFonts w:cs="Arial"/>
        </w:rPr>
        <w:t xml:space="preserve">Los bloqueantes </w:t>
      </w:r>
      <w:proofErr w:type="spellStart"/>
      <w:r w:rsidRPr="00766A30">
        <w:rPr>
          <w:rFonts w:cs="Arial"/>
        </w:rPr>
        <w:t>calcicos</w:t>
      </w:r>
      <w:proofErr w:type="spellEnd"/>
      <w:r w:rsidRPr="00766A30">
        <w:rPr>
          <w:rFonts w:cs="Arial"/>
        </w:rPr>
        <w:t xml:space="preserve"> muestran patrones evidentes  de sobreutilización en numerosos países, incluido Argentina. </w:t>
      </w:r>
    </w:p>
    <w:p w:rsidR="00C144EE" w:rsidRPr="00766A30" w:rsidRDefault="00C144EE" w:rsidP="00C144EE">
      <w:pPr>
        <w:tabs>
          <w:tab w:val="left" w:pos="1320"/>
        </w:tabs>
        <w:ind w:left="113"/>
        <w:jc w:val="both"/>
        <w:rPr>
          <w:rFonts w:cs="Arial"/>
        </w:rPr>
      </w:pPr>
      <w:r w:rsidRPr="00766A30">
        <w:rPr>
          <w:rFonts w:cs="Arial"/>
        </w:rPr>
        <w:t xml:space="preserve">El estudio STOP </w:t>
      </w:r>
      <w:proofErr w:type="spellStart"/>
      <w:r w:rsidRPr="00766A30">
        <w:rPr>
          <w:rFonts w:cs="Arial"/>
        </w:rPr>
        <w:t>Hypertension</w:t>
      </w:r>
      <w:proofErr w:type="spellEnd"/>
      <w:r w:rsidRPr="00766A30">
        <w:rPr>
          <w:rFonts w:cs="Arial"/>
        </w:rPr>
        <w:t xml:space="preserve">, no mostró diferencias entre diuréticos, IECA y BCC sobre la mortalidad cardiovascular, pero sí una mayor incidencia de IAM e IC en el grupo de los BCC en comparación con el grupo de los IECA. </w:t>
      </w:r>
    </w:p>
    <w:p w:rsidR="00C144EE" w:rsidRPr="00766A30" w:rsidRDefault="00C144EE" w:rsidP="00C144EE">
      <w:pPr>
        <w:tabs>
          <w:tab w:val="left" w:pos="1320"/>
        </w:tabs>
        <w:ind w:left="113"/>
        <w:jc w:val="both"/>
        <w:rPr>
          <w:rFonts w:cs="Arial"/>
        </w:rPr>
      </w:pPr>
      <w:r w:rsidRPr="00766A30">
        <w:rPr>
          <w:rFonts w:cs="Arial"/>
        </w:rPr>
        <w:t xml:space="preserve">Si bien superaron a IECA y BB para reducción del riesgo de ACV en pacientes ancianos con HTA sistólica aislada, comparados con diuréticos </w:t>
      </w:r>
      <w:proofErr w:type="spellStart"/>
      <w:r w:rsidRPr="00766A30">
        <w:rPr>
          <w:rFonts w:cs="Arial"/>
        </w:rPr>
        <w:t>tiazídicos</w:t>
      </w:r>
      <w:proofErr w:type="spellEnd"/>
      <w:r w:rsidRPr="00766A30">
        <w:rPr>
          <w:rFonts w:cs="Arial"/>
        </w:rPr>
        <w:t xml:space="preserve"> en baja dosis (ALLHAT) presentan mayor riesgo de ICC. </w:t>
      </w:r>
    </w:p>
    <w:p w:rsidR="00C144EE" w:rsidRPr="00766A30" w:rsidRDefault="00C144EE" w:rsidP="00C144EE">
      <w:pPr>
        <w:tabs>
          <w:tab w:val="left" w:pos="1320"/>
        </w:tabs>
        <w:ind w:left="113"/>
        <w:jc w:val="both"/>
        <w:rPr>
          <w:rFonts w:cs="Arial"/>
        </w:rPr>
      </w:pPr>
      <w:r w:rsidRPr="00766A30">
        <w:rPr>
          <w:rFonts w:cs="Arial"/>
        </w:rPr>
        <w:t xml:space="preserve">En el manejo terapéutico de la patología cardiovascular prevalente tienen limitadas indicaciones, a saber: alternativa a </w:t>
      </w:r>
      <w:proofErr w:type="spellStart"/>
      <w:r w:rsidRPr="00766A30">
        <w:rPr>
          <w:rFonts w:cs="Arial"/>
        </w:rPr>
        <w:t>tiazidas</w:t>
      </w:r>
      <w:proofErr w:type="spellEnd"/>
      <w:r w:rsidRPr="00766A30">
        <w:rPr>
          <w:rFonts w:cs="Arial"/>
        </w:rPr>
        <w:t xml:space="preserve"> y IECA en el manejo de la hipertensión arterial, segunda elección en la hipertensión sistólica aislada con fallo a diuréticos y fármaco </w:t>
      </w:r>
      <w:proofErr w:type="spellStart"/>
      <w:r w:rsidRPr="00766A30">
        <w:rPr>
          <w:rFonts w:cs="Arial"/>
        </w:rPr>
        <w:t>antiisquémico</w:t>
      </w:r>
      <w:proofErr w:type="spellEnd"/>
      <w:r w:rsidRPr="00766A30">
        <w:rPr>
          <w:rFonts w:cs="Arial"/>
        </w:rPr>
        <w:t xml:space="preserve"> de 3° elección y adyuvante en la angina estable. </w:t>
      </w:r>
    </w:p>
    <w:p w:rsidR="00C144EE" w:rsidRPr="00766A30" w:rsidRDefault="00C144EE" w:rsidP="00C144EE">
      <w:pPr>
        <w:tabs>
          <w:tab w:val="left" w:pos="1320"/>
        </w:tabs>
        <w:ind w:left="113"/>
        <w:rPr>
          <w:rFonts w:cs="Arial"/>
          <w:b/>
          <w:i/>
        </w:rPr>
      </w:pPr>
    </w:p>
    <w:p w:rsidR="00C144EE" w:rsidRPr="00766A30" w:rsidRDefault="00C144EE" w:rsidP="00C144EE">
      <w:pPr>
        <w:tabs>
          <w:tab w:val="left" w:pos="1320"/>
        </w:tabs>
        <w:ind w:left="113"/>
        <w:rPr>
          <w:rFonts w:cs="Arial"/>
          <w:b/>
          <w:i/>
          <w:color w:val="00B050"/>
        </w:rPr>
      </w:pPr>
      <w:r w:rsidRPr="00766A30">
        <w:rPr>
          <w:rFonts w:cs="Arial"/>
          <w:b/>
          <w:i/>
          <w:color w:val="00B050"/>
        </w:rPr>
        <w:t>C08CA01</w:t>
      </w:r>
      <w:r w:rsidRPr="00766A30">
        <w:rPr>
          <w:rFonts w:cs="Arial"/>
          <w:b/>
          <w:i/>
          <w:color w:val="00B050"/>
        </w:rPr>
        <w:tab/>
        <w:t xml:space="preserve">AMLODIPINA </w:t>
      </w:r>
    </w:p>
    <w:p w:rsidR="00C144EE" w:rsidRPr="00766A30" w:rsidRDefault="00C144EE" w:rsidP="00396EBC">
      <w:pPr>
        <w:numPr>
          <w:ilvl w:val="0"/>
          <w:numId w:val="27"/>
        </w:numPr>
        <w:spacing w:after="0" w:line="240" w:lineRule="auto"/>
        <w:jc w:val="both"/>
        <w:rPr>
          <w:snapToGrid w:val="0"/>
        </w:rPr>
      </w:pPr>
      <w:r w:rsidRPr="00766A30">
        <w:rPr>
          <w:snapToGrid w:val="0"/>
        </w:rPr>
        <w:t xml:space="preserve">Pacientes ancianos con hipertensión sistólica aislada y fallo o intolerancia demostrada a diuréticos </w:t>
      </w:r>
      <w:proofErr w:type="spellStart"/>
      <w:r w:rsidRPr="00766A30">
        <w:rPr>
          <w:snapToGrid w:val="0"/>
        </w:rPr>
        <w:t>tiazídicos</w:t>
      </w:r>
      <w:proofErr w:type="spellEnd"/>
      <w:r w:rsidRPr="00766A30">
        <w:rPr>
          <w:snapToGrid w:val="0"/>
        </w:rPr>
        <w:t>.</w:t>
      </w:r>
    </w:p>
    <w:p w:rsidR="00C144EE" w:rsidRPr="00766A30" w:rsidRDefault="00C144EE" w:rsidP="00396EBC">
      <w:pPr>
        <w:numPr>
          <w:ilvl w:val="0"/>
          <w:numId w:val="27"/>
        </w:numPr>
        <w:spacing w:after="0" w:line="240" w:lineRule="auto"/>
        <w:jc w:val="both"/>
        <w:rPr>
          <w:snapToGrid w:val="0"/>
        </w:rPr>
      </w:pPr>
      <w:r w:rsidRPr="00766A30">
        <w:rPr>
          <w:snapToGrid w:val="0"/>
        </w:rPr>
        <w:t xml:space="preserve">Pacientes con hipertensión refractaria a betabloqueantes, diuréticos e inhibidores de la enzima </w:t>
      </w:r>
      <w:proofErr w:type="spellStart"/>
      <w:r w:rsidRPr="00766A30">
        <w:rPr>
          <w:snapToGrid w:val="0"/>
        </w:rPr>
        <w:t>convertidora</w:t>
      </w:r>
      <w:proofErr w:type="spellEnd"/>
      <w:r w:rsidRPr="00766A30">
        <w:rPr>
          <w:snapToGrid w:val="0"/>
        </w:rPr>
        <w:t xml:space="preserve"> de angiotensina (IECA) y en quienes es  necesario añadir un vasodilatador.</w:t>
      </w:r>
    </w:p>
    <w:p w:rsidR="00C144EE" w:rsidRPr="00766A30" w:rsidRDefault="00C144EE" w:rsidP="00C144EE">
      <w:pPr>
        <w:jc w:val="both"/>
        <w:rPr>
          <w:snapToGrid w:val="0"/>
        </w:rPr>
      </w:pPr>
      <w:r w:rsidRPr="00766A30">
        <w:rPr>
          <w:snapToGrid w:val="0"/>
          <w:u w:val="single"/>
        </w:rPr>
        <w:t>Dosis</w:t>
      </w:r>
      <w:r w:rsidRPr="00766A30">
        <w:rPr>
          <w:snapToGrid w:val="0"/>
        </w:rPr>
        <w:t>: 5-10 mg/día en una toma.</w:t>
      </w:r>
    </w:p>
    <w:p w:rsidR="00C144EE" w:rsidRPr="00766A30" w:rsidRDefault="00C144EE" w:rsidP="00C144EE">
      <w:pPr>
        <w:pStyle w:val="Sangra3detindependiente"/>
        <w:tabs>
          <w:tab w:val="num" w:pos="720"/>
        </w:tabs>
        <w:spacing w:after="0"/>
        <w:ind w:left="720" w:hanging="360"/>
        <w:jc w:val="both"/>
        <w:rPr>
          <w:rFonts w:asciiTheme="minorHAnsi" w:hAnsiTheme="minorHAnsi"/>
          <w:sz w:val="22"/>
          <w:szCs w:val="22"/>
        </w:rPr>
      </w:pPr>
      <w:r w:rsidRPr="00766A30">
        <w:rPr>
          <w:rFonts w:asciiTheme="minorHAnsi" w:hAnsiTheme="minorHAnsi"/>
          <w:sz w:val="22"/>
          <w:szCs w:val="22"/>
          <w:u w:val="single"/>
        </w:rPr>
        <w:t>Nota:</w:t>
      </w:r>
      <w:r w:rsidRPr="00766A30">
        <w:rPr>
          <w:rFonts w:asciiTheme="minorHAnsi" w:hAnsiTheme="minorHAnsi"/>
          <w:sz w:val="22"/>
          <w:szCs w:val="22"/>
        </w:rPr>
        <w:t xml:space="preserve"> hay estudios epidemiológicos que muestran aumentos de la mortalidad de causa cardiovascular en pacientes que han recibido tratamiento combinado con este bloqueante cálcico y diuréticos </w:t>
      </w:r>
      <w:proofErr w:type="spellStart"/>
      <w:r w:rsidRPr="00766A30">
        <w:rPr>
          <w:rFonts w:asciiTheme="minorHAnsi" w:hAnsiTheme="minorHAnsi"/>
          <w:sz w:val="22"/>
          <w:szCs w:val="22"/>
        </w:rPr>
        <w:t>tiazídicos</w:t>
      </w:r>
      <w:proofErr w:type="spellEnd"/>
      <w:r w:rsidRPr="00766A30">
        <w:rPr>
          <w:rFonts w:asciiTheme="minorHAnsi" w:hAnsiTheme="minorHAnsi"/>
          <w:sz w:val="22"/>
          <w:szCs w:val="22"/>
        </w:rPr>
        <w:t>, por lo que la seguridad a largo plazo de su empleo combinado está en revisión.</w:t>
      </w:r>
    </w:p>
    <w:p w:rsidR="00C144EE" w:rsidRPr="00766A30" w:rsidRDefault="00C144EE" w:rsidP="00C144EE">
      <w:pPr>
        <w:tabs>
          <w:tab w:val="left" w:pos="1320"/>
        </w:tabs>
        <w:ind w:left="113"/>
        <w:rPr>
          <w:rFonts w:cs="Arial"/>
          <w:b/>
        </w:rPr>
      </w:pPr>
    </w:p>
    <w:p w:rsidR="00C144EE" w:rsidRPr="00766A30" w:rsidRDefault="00C144EE" w:rsidP="00C144EE">
      <w:pPr>
        <w:tabs>
          <w:tab w:val="left" w:pos="1320"/>
        </w:tabs>
        <w:ind w:left="113"/>
        <w:rPr>
          <w:rFonts w:cs="Arial"/>
          <w:b/>
          <w:i/>
          <w:color w:val="00B050"/>
        </w:rPr>
      </w:pPr>
      <w:r w:rsidRPr="00766A30">
        <w:rPr>
          <w:rFonts w:cs="Arial"/>
          <w:b/>
          <w:i/>
          <w:color w:val="00B050"/>
        </w:rPr>
        <w:t>C09AA</w:t>
      </w:r>
      <w:r w:rsidRPr="00766A30">
        <w:rPr>
          <w:rFonts w:cs="Arial"/>
          <w:b/>
          <w:i/>
          <w:color w:val="00B050"/>
        </w:rPr>
        <w:tab/>
        <w:t xml:space="preserve">INHIBIDORES DE LA ENZIMA CONVERTIDORA DE </w:t>
      </w:r>
    </w:p>
    <w:p w:rsidR="00C144EE" w:rsidRPr="00766A30" w:rsidRDefault="00C144EE" w:rsidP="00C144EE">
      <w:pPr>
        <w:tabs>
          <w:tab w:val="left" w:pos="1320"/>
        </w:tabs>
        <w:ind w:left="113"/>
        <w:rPr>
          <w:rFonts w:cs="Arial"/>
          <w:b/>
          <w:i/>
          <w:color w:val="00B050"/>
        </w:rPr>
      </w:pPr>
      <w:r w:rsidRPr="00766A30">
        <w:rPr>
          <w:rFonts w:cs="Arial"/>
          <w:b/>
          <w:i/>
          <w:color w:val="00B050"/>
        </w:rPr>
        <w:t xml:space="preserve">                ANGIOTENSINA</w:t>
      </w: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Los numerosos estudios realizados con IECA en insuficiencia cardiaca (IC) (SOLVD, CONSENSUS, HOPE</w:t>
      </w:r>
      <w:r w:rsidRPr="00766A30">
        <w:rPr>
          <w:rStyle w:val="textrevista1"/>
          <w:rFonts w:asciiTheme="minorHAnsi" w:hAnsiTheme="minorHAnsi"/>
          <w:sz w:val="22"/>
          <w:szCs w:val="22"/>
          <w:vertAlign w:val="superscript"/>
        </w:rPr>
        <w:t>)</w:t>
      </w:r>
      <w:r w:rsidRPr="00766A30">
        <w:rPr>
          <w:rStyle w:val="textrevista1"/>
          <w:rFonts w:asciiTheme="minorHAnsi" w:hAnsiTheme="minorHAnsi"/>
          <w:sz w:val="22"/>
          <w:szCs w:val="22"/>
        </w:rPr>
        <w:t xml:space="preserve"> o los realizados en </w:t>
      </w:r>
      <w:proofErr w:type="spellStart"/>
      <w:r w:rsidRPr="00766A30">
        <w:rPr>
          <w:rStyle w:val="textrevista1"/>
          <w:rFonts w:asciiTheme="minorHAnsi" w:hAnsiTheme="minorHAnsi"/>
          <w:sz w:val="22"/>
          <w:szCs w:val="22"/>
        </w:rPr>
        <w:t>postinfarto</w:t>
      </w:r>
      <w:proofErr w:type="spellEnd"/>
      <w:r w:rsidRPr="00766A30">
        <w:rPr>
          <w:rStyle w:val="textrevista1"/>
          <w:rFonts w:asciiTheme="minorHAnsi" w:hAnsiTheme="minorHAnsi"/>
          <w:sz w:val="22"/>
          <w:szCs w:val="22"/>
        </w:rPr>
        <w:t xml:space="preserve"> de miocardio con insuficiencia cardiaca (SAVE, AIRE, TRACE, SMILE, GISSI-3, ISIS-4) han consensuado en todas las guías de prescripción clínica, la indicación de clase I con nivel de evidencia A de los IECA en insuficiencia cardiaca con </w:t>
      </w:r>
      <w:proofErr w:type="spellStart"/>
      <w:r w:rsidRPr="00766A30">
        <w:rPr>
          <w:rStyle w:val="textrevista1"/>
          <w:rFonts w:asciiTheme="minorHAnsi" w:hAnsiTheme="minorHAnsi"/>
          <w:sz w:val="22"/>
          <w:szCs w:val="22"/>
        </w:rPr>
        <w:t>ó</w:t>
      </w:r>
      <w:proofErr w:type="spellEnd"/>
      <w:r w:rsidRPr="00766A30">
        <w:rPr>
          <w:rStyle w:val="textrevista1"/>
          <w:rFonts w:asciiTheme="minorHAnsi" w:hAnsiTheme="minorHAnsi"/>
          <w:sz w:val="22"/>
          <w:szCs w:val="22"/>
        </w:rPr>
        <w:t xml:space="preserve"> sin infarto de miocardio si no hay contraindicaciones para el uso de éstos.  </w:t>
      </w: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En prevención cardiovascular en pacientes de alto riesgo, tanto en pacientes diabéticos como en pacientes con enfermedad cardiovascular establecida, además del ya mencionado estudio VALUE, destaca el estudio HOPE (</w:t>
      </w:r>
      <w:proofErr w:type="spellStart"/>
      <w:r w:rsidRPr="00766A30">
        <w:rPr>
          <w:rStyle w:val="textrevista1"/>
          <w:rFonts w:asciiTheme="minorHAnsi" w:hAnsiTheme="minorHAnsi"/>
          <w:sz w:val="22"/>
          <w:szCs w:val="22"/>
        </w:rPr>
        <w:t>Heart</w:t>
      </w:r>
      <w:proofErr w:type="spellEnd"/>
      <w:r w:rsidRPr="00766A30">
        <w:rPr>
          <w:rStyle w:val="textrevista1"/>
          <w:rFonts w:asciiTheme="minorHAnsi" w:hAnsiTheme="minorHAnsi"/>
          <w:sz w:val="22"/>
          <w:szCs w:val="22"/>
        </w:rPr>
        <w:t xml:space="preserve"> </w:t>
      </w:r>
      <w:proofErr w:type="spellStart"/>
      <w:r w:rsidRPr="00766A30">
        <w:rPr>
          <w:rStyle w:val="textrevista1"/>
          <w:rFonts w:asciiTheme="minorHAnsi" w:hAnsiTheme="minorHAnsi"/>
          <w:sz w:val="22"/>
          <w:szCs w:val="22"/>
        </w:rPr>
        <w:t>Outcomes</w:t>
      </w:r>
      <w:proofErr w:type="spellEnd"/>
      <w:r w:rsidRPr="00766A30">
        <w:rPr>
          <w:rStyle w:val="textrevista1"/>
          <w:rFonts w:asciiTheme="minorHAnsi" w:hAnsiTheme="minorHAnsi"/>
          <w:sz w:val="22"/>
          <w:szCs w:val="22"/>
        </w:rPr>
        <w:t xml:space="preserve"> </w:t>
      </w:r>
      <w:proofErr w:type="spellStart"/>
      <w:r w:rsidRPr="00766A30">
        <w:rPr>
          <w:rStyle w:val="textrevista1"/>
          <w:rFonts w:asciiTheme="minorHAnsi" w:hAnsiTheme="minorHAnsi"/>
          <w:sz w:val="22"/>
          <w:szCs w:val="22"/>
        </w:rPr>
        <w:t>Prevention</w:t>
      </w:r>
      <w:proofErr w:type="spellEnd"/>
      <w:r w:rsidRPr="00766A30">
        <w:rPr>
          <w:rStyle w:val="textrevista1"/>
          <w:rFonts w:asciiTheme="minorHAnsi" w:hAnsiTheme="minorHAnsi"/>
          <w:sz w:val="22"/>
          <w:szCs w:val="22"/>
        </w:rPr>
        <w:t xml:space="preserve"> and </w:t>
      </w:r>
      <w:proofErr w:type="spellStart"/>
      <w:r w:rsidRPr="00766A30">
        <w:rPr>
          <w:rStyle w:val="textrevista1"/>
          <w:rFonts w:asciiTheme="minorHAnsi" w:hAnsiTheme="minorHAnsi"/>
          <w:sz w:val="22"/>
          <w:szCs w:val="22"/>
        </w:rPr>
        <w:t>Evolution</w:t>
      </w:r>
      <w:proofErr w:type="spellEnd"/>
      <w:r w:rsidRPr="00766A30">
        <w:rPr>
          <w:rStyle w:val="textrevista1"/>
          <w:rFonts w:asciiTheme="minorHAnsi" w:hAnsiTheme="minorHAnsi"/>
          <w:sz w:val="22"/>
          <w:szCs w:val="22"/>
        </w:rPr>
        <w:t xml:space="preserve">) estudio de referencia en prevención de morbimortalidad cardiovascular que incluyó pacientes de alto riesgo bien con diabetes más otro factor de riesgo </w:t>
      </w:r>
      <w:proofErr w:type="spellStart"/>
      <w:r w:rsidRPr="00766A30">
        <w:rPr>
          <w:rStyle w:val="textrevista1"/>
          <w:rFonts w:asciiTheme="minorHAnsi" w:hAnsiTheme="minorHAnsi"/>
          <w:sz w:val="22"/>
          <w:szCs w:val="22"/>
        </w:rPr>
        <w:t>ó</w:t>
      </w:r>
      <w:proofErr w:type="spellEnd"/>
      <w:r w:rsidRPr="00766A30">
        <w:rPr>
          <w:rStyle w:val="textrevista1"/>
          <w:rFonts w:asciiTheme="minorHAnsi" w:hAnsiTheme="minorHAnsi"/>
          <w:sz w:val="22"/>
          <w:szCs w:val="22"/>
        </w:rPr>
        <w:t xml:space="preserve"> presencia de enfermedad </w:t>
      </w:r>
      <w:proofErr w:type="spellStart"/>
      <w:r w:rsidRPr="00766A30">
        <w:rPr>
          <w:rStyle w:val="textrevista1"/>
          <w:rFonts w:asciiTheme="minorHAnsi" w:hAnsiTheme="minorHAnsi"/>
          <w:sz w:val="22"/>
          <w:szCs w:val="22"/>
        </w:rPr>
        <w:t>aterosclerotica</w:t>
      </w:r>
      <w:proofErr w:type="spellEnd"/>
      <w:r w:rsidRPr="00766A30">
        <w:rPr>
          <w:rStyle w:val="textrevista1"/>
          <w:rFonts w:asciiTheme="minorHAnsi" w:hAnsiTheme="minorHAnsi"/>
          <w:sz w:val="22"/>
          <w:szCs w:val="22"/>
        </w:rPr>
        <w:t xml:space="preserve"> (coronaria, ictus o enfermedad arterial periférica); comparaba </w:t>
      </w:r>
      <w:proofErr w:type="spellStart"/>
      <w:r w:rsidRPr="00766A30">
        <w:rPr>
          <w:rStyle w:val="textrevista1"/>
          <w:rFonts w:asciiTheme="minorHAnsi" w:hAnsiTheme="minorHAnsi"/>
          <w:sz w:val="22"/>
          <w:szCs w:val="22"/>
        </w:rPr>
        <w:t>ramipril</w:t>
      </w:r>
      <w:proofErr w:type="spellEnd"/>
      <w:r w:rsidRPr="00766A30">
        <w:rPr>
          <w:rStyle w:val="textrevista1"/>
          <w:rFonts w:asciiTheme="minorHAnsi" w:hAnsiTheme="minorHAnsi"/>
          <w:sz w:val="22"/>
          <w:szCs w:val="22"/>
        </w:rPr>
        <w:t xml:space="preserve"> versus placebo se observó mejoría en el </w:t>
      </w:r>
      <w:proofErr w:type="spellStart"/>
      <w:r w:rsidRPr="00766A30">
        <w:rPr>
          <w:rStyle w:val="textrevista1"/>
          <w:rFonts w:asciiTheme="minorHAnsi" w:hAnsiTheme="minorHAnsi"/>
          <w:sz w:val="22"/>
          <w:szCs w:val="22"/>
        </w:rPr>
        <w:t>end-point</w:t>
      </w:r>
      <w:proofErr w:type="spellEnd"/>
      <w:r w:rsidRPr="00766A30">
        <w:rPr>
          <w:rStyle w:val="textrevista1"/>
          <w:rFonts w:asciiTheme="minorHAnsi" w:hAnsiTheme="minorHAnsi"/>
          <w:sz w:val="22"/>
          <w:szCs w:val="22"/>
        </w:rPr>
        <w:t xml:space="preserve"> primario de mortalidad y morbilidad cardiovascular (IAM, </w:t>
      </w:r>
      <w:r w:rsidRPr="00766A30">
        <w:rPr>
          <w:rStyle w:val="textrevista1"/>
          <w:rFonts w:asciiTheme="minorHAnsi" w:hAnsiTheme="minorHAnsi"/>
          <w:sz w:val="22"/>
          <w:szCs w:val="22"/>
        </w:rPr>
        <w:lastRenderedPageBreak/>
        <w:t xml:space="preserve">ACV) en un 22% del grupo con IECA, así como en las complicaciones relacionadas con la diabetes. </w:t>
      </w:r>
    </w:p>
    <w:p w:rsidR="00C144EE" w:rsidRPr="00766A30" w:rsidRDefault="00C144EE" w:rsidP="00C144EE">
      <w:pPr>
        <w:tabs>
          <w:tab w:val="left" w:pos="1320"/>
        </w:tabs>
        <w:ind w:left="113"/>
        <w:jc w:val="both"/>
        <w:rPr>
          <w:rFonts w:cs="Arial"/>
        </w:rPr>
      </w:pPr>
      <w:r w:rsidRPr="00766A30">
        <w:rPr>
          <w:rStyle w:val="textrevista1"/>
          <w:rFonts w:asciiTheme="minorHAnsi" w:hAnsiTheme="minorHAnsi"/>
          <w:sz w:val="22"/>
          <w:szCs w:val="22"/>
        </w:rPr>
        <w:t xml:space="preserve">A su vez son reconocidos sus beneficios en grupos seleccionados de HTA,  y en la progresión de la nefropatía diabética sobre los que abundaremos en detalle. La limitante de uso para el grupo es la aparición de tos, que impone el </w:t>
      </w:r>
      <w:proofErr w:type="spellStart"/>
      <w:r w:rsidRPr="00766A30">
        <w:rPr>
          <w:rStyle w:val="textrevista1"/>
          <w:rFonts w:asciiTheme="minorHAnsi" w:hAnsiTheme="minorHAnsi"/>
          <w:sz w:val="22"/>
          <w:szCs w:val="22"/>
        </w:rPr>
        <w:t>switch</w:t>
      </w:r>
      <w:proofErr w:type="spellEnd"/>
      <w:r w:rsidRPr="00766A30">
        <w:rPr>
          <w:rStyle w:val="textrevista1"/>
          <w:rFonts w:asciiTheme="minorHAnsi" w:hAnsiTheme="minorHAnsi"/>
          <w:sz w:val="22"/>
          <w:szCs w:val="22"/>
        </w:rPr>
        <w:t xml:space="preserve"> con ARA-II. </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rPr>
      </w:pPr>
      <w:r w:rsidRPr="00766A30">
        <w:rPr>
          <w:rFonts w:cs="Arial"/>
          <w:b/>
          <w:i/>
          <w:color w:val="00B050"/>
        </w:rPr>
        <w:t>C09AA02</w:t>
      </w:r>
      <w:r w:rsidRPr="00766A30">
        <w:rPr>
          <w:rFonts w:cs="Arial"/>
          <w:b/>
          <w:i/>
          <w:color w:val="00B050"/>
        </w:rPr>
        <w:tab/>
        <w:t xml:space="preserve">ENALAPRIL MALEATO </w:t>
      </w:r>
    </w:p>
    <w:p w:rsidR="00C144EE" w:rsidRPr="00766A30" w:rsidRDefault="00C144EE" w:rsidP="00396EBC">
      <w:pPr>
        <w:numPr>
          <w:ilvl w:val="0"/>
          <w:numId w:val="28"/>
        </w:numPr>
        <w:spacing w:after="0" w:line="240" w:lineRule="auto"/>
        <w:jc w:val="both"/>
        <w:rPr>
          <w:rFonts w:cs="Arial"/>
        </w:rPr>
      </w:pPr>
      <w:r w:rsidRPr="00766A30">
        <w:rPr>
          <w:rFonts w:cs="Arial"/>
        </w:rPr>
        <w:t xml:space="preserve">Tratamiento de la insuficiencia cardiaca crónica (ICC): En el estudio CONSENSUS, se evaluó la eficacia de </w:t>
      </w:r>
      <w:proofErr w:type="spellStart"/>
      <w:r w:rsidRPr="00766A30">
        <w:rPr>
          <w:rFonts w:cs="Arial"/>
        </w:rPr>
        <w:t>enalapril</w:t>
      </w:r>
      <w:proofErr w:type="spellEnd"/>
      <w:r w:rsidRPr="00766A30">
        <w:rPr>
          <w:rFonts w:cs="Arial"/>
        </w:rPr>
        <w:t xml:space="preserve"> (2.5 mg a 40 por día) en  estudio doble ciego, aleatorio comparado con placebo en el cual participaron 253 pacientes (126 con placebo y 127 con </w:t>
      </w:r>
      <w:proofErr w:type="spellStart"/>
      <w:r w:rsidRPr="00766A30">
        <w:rPr>
          <w:rFonts w:cs="Arial"/>
        </w:rPr>
        <w:t>enalapril</w:t>
      </w:r>
      <w:proofErr w:type="spellEnd"/>
      <w:r w:rsidRPr="00766A30">
        <w:rPr>
          <w:rFonts w:cs="Arial"/>
        </w:rPr>
        <w:t xml:space="preserve">) con insuficiencia cardiaca clase funcional IV de la NYHA. El índice de mortalidad a los seis meses (objetivo primario) fue 26% en el grupo </w:t>
      </w:r>
      <w:proofErr w:type="spellStart"/>
      <w:r w:rsidRPr="00766A30">
        <w:rPr>
          <w:rFonts w:cs="Arial"/>
        </w:rPr>
        <w:t>enalapril</w:t>
      </w:r>
      <w:proofErr w:type="spellEnd"/>
      <w:r w:rsidRPr="00766A30">
        <w:rPr>
          <w:rFonts w:cs="Arial"/>
        </w:rPr>
        <w:t xml:space="preserve"> y 44% en el grupo placebo con una reducción de 40%(p= 0.002). La mortalidad disminuyó un 31% en un año (p= 0.001). Al final del estudio, hubo 68 muertes en el grupo del placebo y 50 en el grupo de </w:t>
      </w:r>
      <w:proofErr w:type="spellStart"/>
      <w:r w:rsidRPr="00766A30">
        <w:rPr>
          <w:rFonts w:cs="Arial"/>
        </w:rPr>
        <w:t>enalapril</w:t>
      </w:r>
      <w:proofErr w:type="spellEnd"/>
      <w:r w:rsidRPr="00766A30">
        <w:rPr>
          <w:rFonts w:cs="Arial"/>
        </w:rPr>
        <w:t xml:space="preserve">, una reducción de 27%(p = 0.003). La reducción de mortalidad total fue demostrada para los pacientes con insuficiencia cardiaca (una reducción de 50%), pero no hubo diferencias en la incidencia de la muerte súbita. Se observó una mejoría significativa en la clase funcional de la NYHA en el grupo de </w:t>
      </w:r>
      <w:proofErr w:type="spellStart"/>
      <w:r w:rsidRPr="00766A30">
        <w:rPr>
          <w:rFonts w:cs="Arial"/>
        </w:rPr>
        <w:t>enalapril</w:t>
      </w:r>
      <w:proofErr w:type="spellEnd"/>
      <w:r w:rsidRPr="00766A30">
        <w:rPr>
          <w:rFonts w:cs="Arial"/>
        </w:rPr>
        <w:t xml:space="preserve">, junto con una reducción de tamaño del corazón y menor necesidad de otra medicación para insuficiencia cardiaca. La adición de </w:t>
      </w:r>
      <w:proofErr w:type="spellStart"/>
      <w:r w:rsidRPr="00766A30">
        <w:rPr>
          <w:rFonts w:cs="Arial"/>
        </w:rPr>
        <w:t>enalapril</w:t>
      </w:r>
      <w:proofErr w:type="spellEnd"/>
      <w:r w:rsidRPr="00766A30">
        <w:rPr>
          <w:rFonts w:cs="Arial"/>
        </w:rPr>
        <w:t xml:space="preserve"> a la terapia convencional en pacientes con insuficiencia cardiaca severa redujo mortalidad y mejoró los síntomas. </w:t>
      </w:r>
    </w:p>
    <w:p w:rsidR="00C144EE" w:rsidRPr="00766A30" w:rsidRDefault="00C144EE" w:rsidP="00C144EE">
      <w:pPr>
        <w:ind w:left="1080"/>
        <w:jc w:val="both"/>
        <w:rPr>
          <w:rFonts w:cs="Arial"/>
        </w:rPr>
      </w:pPr>
      <w:r w:rsidRPr="00766A30">
        <w:rPr>
          <w:rFonts w:cs="Arial"/>
        </w:rPr>
        <w:t>El efecto beneficioso sobre mortalidad fue debido a una reducción en la muerte por progresión de la insuficiencia cardiaca.</w:t>
      </w:r>
    </w:p>
    <w:p w:rsidR="00C144EE" w:rsidRPr="00766A30" w:rsidRDefault="00C144EE" w:rsidP="00C144EE">
      <w:pPr>
        <w:ind w:left="1080"/>
        <w:jc w:val="both"/>
        <w:rPr>
          <w:rFonts w:cs="Arial"/>
        </w:rPr>
      </w:pPr>
    </w:p>
    <w:p w:rsidR="00C144EE" w:rsidRPr="00766A30" w:rsidRDefault="00C144EE" w:rsidP="00C144EE">
      <w:pPr>
        <w:ind w:left="1080"/>
        <w:jc w:val="both"/>
        <w:rPr>
          <w:rFonts w:cs="Arial"/>
        </w:rPr>
      </w:pPr>
      <w:r w:rsidRPr="00766A30">
        <w:rPr>
          <w:rFonts w:cs="Arial"/>
        </w:rPr>
        <w:t xml:space="preserve">En el estudio SOLVD, ensayo clínico doble ciego, se evaluó la eficacia de </w:t>
      </w:r>
      <w:proofErr w:type="spellStart"/>
      <w:r w:rsidRPr="00766A30">
        <w:rPr>
          <w:rFonts w:cs="Arial"/>
        </w:rPr>
        <w:t>enalapril</w:t>
      </w:r>
      <w:proofErr w:type="spellEnd"/>
      <w:r w:rsidRPr="00766A30">
        <w:rPr>
          <w:rFonts w:cs="Arial"/>
        </w:rPr>
        <w:t xml:space="preserve"> (</w:t>
      </w:r>
      <w:smartTag w:uri="urn:schemas-microsoft-com:office:smarttags" w:element="metricconverter">
        <w:smartTagPr>
          <w:attr w:name="ProductID" w:val="2.5 a"/>
        </w:smartTagPr>
        <w:r w:rsidRPr="00766A30">
          <w:rPr>
            <w:rFonts w:cs="Arial"/>
          </w:rPr>
          <w:t>2.5 a</w:t>
        </w:r>
      </w:smartTag>
      <w:r w:rsidRPr="00766A30">
        <w:rPr>
          <w:rFonts w:cs="Arial"/>
        </w:rPr>
        <w:t xml:space="preserve"> 20 mg/día) en pacientes con insuficiencia cardiaca, este estudio incluyó 2579 pacientes (1284 con placebo y 1285 con </w:t>
      </w:r>
      <w:proofErr w:type="spellStart"/>
      <w:r w:rsidRPr="00766A30">
        <w:rPr>
          <w:rFonts w:cs="Arial"/>
        </w:rPr>
        <w:t>enalapril</w:t>
      </w:r>
      <w:proofErr w:type="spellEnd"/>
      <w:r w:rsidRPr="00766A30">
        <w:rPr>
          <w:rFonts w:cs="Arial"/>
        </w:rPr>
        <w:t xml:space="preserve">) de los cuales el 90% pertenecía a clase funcional II-III de la NYHA. Se realizó un promedio de seguimiento de 41.4 meses. Se observó una menor mortalidad en el grupo tratado con </w:t>
      </w:r>
      <w:proofErr w:type="spellStart"/>
      <w:r w:rsidRPr="00766A30">
        <w:rPr>
          <w:rFonts w:cs="Arial"/>
        </w:rPr>
        <w:t>enalapril</w:t>
      </w:r>
      <w:proofErr w:type="spellEnd"/>
      <w:r w:rsidRPr="00766A30">
        <w:rPr>
          <w:rFonts w:cs="Arial"/>
        </w:rPr>
        <w:t xml:space="preserve"> un 35.2% contra 39.7% en el grupo placebo (RR, 16%; IC95%, </w:t>
      </w:r>
      <w:smartTag w:uri="urn:schemas-microsoft-com:office:smarttags" w:element="metricconverter">
        <w:smartTagPr>
          <w:attr w:name="ProductID" w:val="5 a"/>
        </w:smartTagPr>
        <w:r w:rsidRPr="00766A30">
          <w:rPr>
            <w:rFonts w:cs="Arial"/>
          </w:rPr>
          <w:t>5 a</w:t>
        </w:r>
      </w:smartTag>
      <w:r w:rsidRPr="00766A30">
        <w:rPr>
          <w:rFonts w:cs="Arial"/>
        </w:rPr>
        <w:t xml:space="preserve"> 26 por ciento; p=0.0036). </w:t>
      </w:r>
    </w:p>
    <w:p w:rsidR="00C144EE" w:rsidRPr="00766A30" w:rsidRDefault="00C144EE" w:rsidP="00C144EE">
      <w:pPr>
        <w:ind w:left="1080"/>
        <w:jc w:val="both"/>
        <w:rPr>
          <w:rFonts w:cs="Arial"/>
        </w:rPr>
      </w:pPr>
      <w:r w:rsidRPr="00766A30">
        <w:rPr>
          <w:rFonts w:cs="Arial"/>
        </w:rPr>
        <w:t xml:space="preserve">La  reducción más importante ocurrió entre las muertes atribuidas a insuficiencia cardiaca progresiva, con escaso efecto del tratamiento en las muertes  debido a arritmia sin fallo de bomba. La adición de </w:t>
      </w:r>
      <w:proofErr w:type="spellStart"/>
      <w:r w:rsidRPr="00766A30">
        <w:rPr>
          <w:rFonts w:cs="Arial"/>
        </w:rPr>
        <w:t>enalapril</w:t>
      </w:r>
      <w:proofErr w:type="spellEnd"/>
      <w:r w:rsidRPr="00766A30">
        <w:rPr>
          <w:rFonts w:cs="Arial"/>
        </w:rPr>
        <w:t xml:space="preserve"> a la terapia convencional redujo significativamente la mortalidad, el índice de hospitalización por IC y mejoró de la reducción de la fracción de eyección. </w:t>
      </w:r>
    </w:p>
    <w:p w:rsidR="00C144EE" w:rsidRPr="00766A30" w:rsidRDefault="00C144EE" w:rsidP="00C144EE">
      <w:pPr>
        <w:ind w:left="1080"/>
        <w:jc w:val="both"/>
        <w:rPr>
          <w:rFonts w:cs="Arial"/>
        </w:rPr>
      </w:pPr>
      <w:r w:rsidRPr="00766A30">
        <w:rPr>
          <w:rFonts w:cs="Arial"/>
        </w:rPr>
        <w:t xml:space="preserve">Subsidiariamente el </w:t>
      </w:r>
      <w:proofErr w:type="spellStart"/>
      <w:r w:rsidRPr="00766A30">
        <w:rPr>
          <w:rFonts w:cs="Arial"/>
        </w:rPr>
        <w:t>VHeFT</w:t>
      </w:r>
      <w:proofErr w:type="spellEnd"/>
      <w:r w:rsidRPr="00766A30">
        <w:rPr>
          <w:rFonts w:cs="Arial"/>
        </w:rPr>
        <w:t xml:space="preserve">-II, un ensayo clínico doble ciego </w:t>
      </w:r>
      <w:proofErr w:type="spellStart"/>
      <w:r w:rsidRPr="00766A30">
        <w:rPr>
          <w:rFonts w:cs="Arial"/>
        </w:rPr>
        <w:t>randomizado</w:t>
      </w:r>
      <w:proofErr w:type="spellEnd"/>
      <w:r w:rsidRPr="00766A30">
        <w:rPr>
          <w:rFonts w:cs="Arial"/>
        </w:rPr>
        <w:t xml:space="preserve"> realizado en 804 pacientes con insuficiencia cardiaca, clase funcional I a IV de la NYHA, comparó la eficacia de </w:t>
      </w:r>
      <w:proofErr w:type="spellStart"/>
      <w:r w:rsidRPr="00766A30">
        <w:rPr>
          <w:rFonts w:cs="Arial"/>
        </w:rPr>
        <w:t>enalapril</w:t>
      </w:r>
      <w:proofErr w:type="spellEnd"/>
      <w:r w:rsidRPr="00766A30">
        <w:rPr>
          <w:rFonts w:cs="Arial"/>
        </w:rPr>
        <w:t xml:space="preserve"> (20 mg/día) contra </w:t>
      </w:r>
      <w:proofErr w:type="spellStart"/>
      <w:r w:rsidRPr="00766A30">
        <w:rPr>
          <w:rFonts w:cs="Arial"/>
        </w:rPr>
        <w:t>hidralazina</w:t>
      </w:r>
      <w:proofErr w:type="spellEnd"/>
      <w:r w:rsidRPr="00766A30">
        <w:rPr>
          <w:rFonts w:cs="Arial"/>
        </w:rPr>
        <w:t xml:space="preserve"> (300 mg/día) más </w:t>
      </w:r>
      <w:proofErr w:type="spellStart"/>
      <w:r w:rsidRPr="00766A30">
        <w:rPr>
          <w:rFonts w:cs="Arial"/>
        </w:rPr>
        <w:t>dinitrato</w:t>
      </w:r>
      <w:proofErr w:type="spellEnd"/>
      <w:r w:rsidRPr="00766A30">
        <w:rPr>
          <w:rFonts w:cs="Arial"/>
        </w:rPr>
        <w:t xml:space="preserve"> de </w:t>
      </w:r>
      <w:proofErr w:type="spellStart"/>
      <w:r w:rsidRPr="00766A30">
        <w:rPr>
          <w:rFonts w:cs="Arial"/>
        </w:rPr>
        <w:t>isosorbide</w:t>
      </w:r>
      <w:proofErr w:type="spellEnd"/>
      <w:r w:rsidRPr="00766A30">
        <w:rPr>
          <w:rFonts w:cs="Arial"/>
        </w:rPr>
        <w:t xml:space="preserve"> (160 mg/día). Luego de dos años de seguimiento la mortalidad fue significativamente más baja en el grupo con </w:t>
      </w:r>
      <w:proofErr w:type="spellStart"/>
      <w:r w:rsidRPr="00766A30">
        <w:rPr>
          <w:rFonts w:cs="Arial"/>
        </w:rPr>
        <w:t>enalapril</w:t>
      </w:r>
      <w:proofErr w:type="spellEnd"/>
      <w:r w:rsidRPr="00766A30">
        <w:rPr>
          <w:rFonts w:cs="Arial"/>
        </w:rPr>
        <w:t xml:space="preserve">  18% contra 25% en el grupo de </w:t>
      </w:r>
      <w:proofErr w:type="spellStart"/>
      <w:r w:rsidRPr="00766A30">
        <w:rPr>
          <w:rFonts w:cs="Arial"/>
        </w:rPr>
        <w:t>hidralazina-dinitrato</w:t>
      </w:r>
      <w:proofErr w:type="spellEnd"/>
      <w:r w:rsidRPr="00766A30">
        <w:rPr>
          <w:rFonts w:cs="Arial"/>
        </w:rPr>
        <w:t xml:space="preserve"> de </w:t>
      </w:r>
      <w:proofErr w:type="spellStart"/>
      <w:r w:rsidRPr="00766A30">
        <w:rPr>
          <w:rFonts w:cs="Arial"/>
        </w:rPr>
        <w:t>isosorbide</w:t>
      </w:r>
      <w:proofErr w:type="spellEnd"/>
      <w:r w:rsidRPr="00766A30">
        <w:rPr>
          <w:rFonts w:cs="Arial"/>
        </w:rPr>
        <w:t xml:space="preserve">. (RR 28% p=0.01). La disminución en la mortalidad fue atribuible a una reducción en la incidencia de </w:t>
      </w:r>
      <w:r w:rsidRPr="00766A30">
        <w:rPr>
          <w:rFonts w:cs="Arial"/>
        </w:rPr>
        <w:lastRenderedPageBreak/>
        <w:t xml:space="preserve">muerte súbita, más marcado en pacientes con insuficiencia cardiaca menos severa (clase funcional I-II). </w:t>
      </w:r>
    </w:p>
    <w:p w:rsidR="00C144EE" w:rsidRPr="00766A30" w:rsidRDefault="00C144EE" w:rsidP="00C144EE">
      <w:pPr>
        <w:ind w:left="1080"/>
        <w:jc w:val="both"/>
        <w:rPr>
          <w:rFonts w:cs="Arial"/>
        </w:rPr>
      </w:pPr>
      <w:r w:rsidRPr="00766A30">
        <w:rPr>
          <w:rFonts w:cs="Arial"/>
        </w:rPr>
        <w:t xml:space="preserve">Estos estudios muestran con claridad que el beneficio demostrado por </w:t>
      </w:r>
      <w:proofErr w:type="spellStart"/>
      <w:r w:rsidRPr="00766A30">
        <w:rPr>
          <w:rFonts w:cs="Arial"/>
        </w:rPr>
        <w:t>enalapril</w:t>
      </w:r>
      <w:proofErr w:type="spellEnd"/>
      <w:r w:rsidRPr="00766A30">
        <w:rPr>
          <w:rFonts w:cs="Arial"/>
        </w:rPr>
        <w:t xml:space="preserve"> abarca a todos los pacientes con insuficiencia cardiaca.  </w:t>
      </w:r>
    </w:p>
    <w:p w:rsidR="00C144EE" w:rsidRPr="00766A30" w:rsidRDefault="00C144EE" w:rsidP="00C144EE">
      <w:pPr>
        <w:ind w:left="1080"/>
        <w:jc w:val="both"/>
        <w:rPr>
          <w:rFonts w:cs="Arial"/>
        </w:rPr>
      </w:pPr>
      <w:r w:rsidRPr="00766A30">
        <w:rPr>
          <w:rFonts w:cs="Arial"/>
        </w:rPr>
        <w:t xml:space="preserve">A continuación resumimos las INDICACIONES PREVALENTES registradas para </w:t>
      </w:r>
      <w:proofErr w:type="spellStart"/>
      <w:r w:rsidRPr="00766A30">
        <w:rPr>
          <w:rFonts w:cs="Arial"/>
        </w:rPr>
        <w:t>enalapril</w:t>
      </w:r>
      <w:proofErr w:type="spellEnd"/>
      <w:r w:rsidRPr="00766A30">
        <w:rPr>
          <w:rFonts w:cs="Arial"/>
        </w:rPr>
        <w:t xml:space="preserve"> en ICC sola o </w:t>
      </w:r>
      <w:proofErr w:type="spellStart"/>
      <w:r w:rsidRPr="00766A30">
        <w:rPr>
          <w:rFonts w:cs="Arial"/>
        </w:rPr>
        <w:t>comórbida</w:t>
      </w:r>
      <w:proofErr w:type="spellEnd"/>
      <w:r w:rsidRPr="00766A30">
        <w:rPr>
          <w:rFonts w:cs="Arial"/>
        </w:rPr>
        <w:t xml:space="preserve">: </w:t>
      </w:r>
    </w:p>
    <w:p w:rsidR="00C144EE" w:rsidRPr="00766A30" w:rsidRDefault="00C144EE" w:rsidP="00C144EE">
      <w:pPr>
        <w:ind w:left="1080"/>
        <w:jc w:val="both"/>
        <w:rPr>
          <w:snapToGrid w:val="0"/>
        </w:rPr>
      </w:pPr>
      <w:r w:rsidRPr="00766A30">
        <w:rPr>
          <w:rFonts w:cs="Arial"/>
        </w:rPr>
        <w:t xml:space="preserve">  </w:t>
      </w:r>
    </w:p>
    <w:p w:rsidR="00C144EE" w:rsidRPr="00766A30" w:rsidRDefault="00C144EE" w:rsidP="00396EBC">
      <w:pPr>
        <w:numPr>
          <w:ilvl w:val="0"/>
          <w:numId w:val="37"/>
        </w:numPr>
        <w:spacing w:after="0" w:line="240" w:lineRule="auto"/>
        <w:ind w:firstLine="360"/>
        <w:jc w:val="both"/>
        <w:rPr>
          <w:snapToGrid w:val="0"/>
        </w:rPr>
      </w:pPr>
      <w:r w:rsidRPr="00766A30">
        <w:rPr>
          <w:snapToGrid w:val="0"/>
        </w:rPr>
        <w:t xml:space="preserve">Pacientes con disfunción ventricular asintomática. </w:t>
      </w:r>
    </w:p>
    <w:p w:rsidR="00C144EE" w:rsidRPr="00766A30" w:rsidRDefault="00C144EE" w:rsidP="00C144EE">
      <w:pPr>
        <w:ind w:left="1080"/>
        <w:jc w:val="both"/>
        <w:rPr>
          <w:snapToGrid w:val="0"/>
        </w:rPr>
      </w:pPr>
      <w:r w:rsidRPr="00766A30">
        <w:rPr>
          <w:snapToGrid w:val="0"/>
        </w:rPr>
        <w:t xml:space="preserve">Dosis: inicial 2,5-5 mg/día en 2 tomas; de mantenimiento: 10-20 mg/día en 1 o 2  tomas. </w:t>
      </w:r>
    </w:p>
    <w:p w:rsidR="00C144EE" w:rsidRPr="00766A30" w:rsidRDefault="00C144EE" w:rsidP="00396EBC">
      <w:pPr>
        <w:numPr>
          <w:ilvl w:val="0"/>
          <w:numId w:val="37"/>
        </w:numPr>
        <w:spacing w:after="0" w:line="240" w:lineRule="auto"/>
        <w:ind w:firstLine="360"/>
        <w:jc w:val="both"/>
        <w:rPr>
          <w:snapToGrid w:val="0"/>
        </w:rPr>
      </w:pPr>
      <w:r w:rsidRPr="00766A30">
        <w:rPr>
          <w:snapToGrid w:val="0"/>
        </w:rPr>
        <w:t xml:space="preserve">Pacientes con insuficiencia cardíaca por disfunción sistólica con / sin hipertrofia ventricular Izq. </w:t>
      </w:r>
    </w:p>
    <w:p w:rsidR="00C144EE" w:rsidRPr="00766A30" w:rsidRDefault="00C144EE" w:rsidP="00C144EE">
      <w:pPr>
        <w:ind w:left="1080"/>
        <w:jc w:val="both"/>
        <w:rPr>
          <w:snapToGrid w:val="0"/>
        </w:rPr>
      </w:pPr>
      <w:r w:rsidRPr="00766A30">
        <w:rPr>
          <w:snapToGrid w:val="0"/>
        </w:rPr>
        <w:t xml:space="preserve">Dosis: inicial 2,5-5 mg/día en 2 tomas; de mantenimiento: 10-20 mg/día en 2 tomas. </w:t>
      </w:r>
    </w:p>
    <w:p w:rsidR="00C144EE" w:rsidRPr="00766A30" w:rsidRDefault="00C144EE" w:rsidP="00396EBC">
      <w:pPr>
        <w:numPr>
          <w:ilvl w:val="0"/>
          <w:numId w:val="37"/>
        </w:numPr>
        <w:spacing w:after="0" w:line="240" w:lineRule="auto"/>
        <w:ind w:firstLine="360"/>
        <w:jc w:val="both"/>
        <w:rPr>
          <w:snapToGrid w:val="0"/>
        </w:rPr>
      </w:pPr>
      <w:r w:rsidRPr="00766A30">
        <w:rPr>
          <w:snapToGrid w:val="0"/>
        </w:rPr>
        <w:t xml:space="preserve">Pacientes con hipertensión arterial e insuficiencia cardíaca con disfunción ventricular documentada (fracción de eyección igual o menor a 35-40%). </w:t>
      </w:r>
    </w:p>
    <w:p w:rsidR="00C144EE" w:rsidRPr="00766A30" w:rsidRDefault="00C144EE" w:rsidP="00C144EE">
      <w:pPr>
        <w:ind w:left="1080"/>
        <w:jc w:val="both"/>
        <w:rPr>
          <w:snapToGrid w:val="0"/>
        </w:rPr>
      </w:pPr>
      <w:r w:rsidRPr="00766A30">
        <w:rPr>
          <w:snapToGrid w:val="0"/>
        </w:rPr>
        <w:t xml:space="preserve">Dosis: inicial 2,5-5 mg/día en 2 tomas; de mantenimiento: 10-20 mg/día en 2 tomas. </w:t>
      </w:r>
    </w:p>
    <w:p w:rsidR="00C144EE" w:rsidRPr="00766A30" w:rsidRDefault="00C144EE" w:rsidP="00396EBC">
      <w:pPr>
        <w:numPr>
          <w:ilvl w:val="0"/>
          <w:numId w:val="37"/>
        </w:numPr>
        <w:spacing w:after="0" w:line="240" w:lineRule="auto"/>
        <w:ind w:firstLine="360"/>
        <w:jc w:val="both"/>
        <w:rPr>
          <w:snapToGrid w:val="0"/>
        </w:rPr>
      </w:pPr>
      <w:r w:rsidRPr="00766A30">
        <w:rPr>
          <w:snapToGrid w:val="0"/>
        </w:rPr>
        <w:t xml:space="preserve">Pacientes con reducción de la fracción de eyección post infarto agudo de miocardio. </w:t>
      </w:r>
    </w:p>
    <w:p w:rsidR="00C144EE" w:rsidRPr="00766A30" w:rsidRDefault="00C144EE" w:rsidP="00C144EE">
      <w:pPr>
        <w:ind w:left="1080"/>
        <w:jc w:val="both"/>
        <w:rPr>
          <w:snapToGrid w:val="0"/>
        </w:rPr>
      </w:pPr>
      <w:r w:rsidRPr="00766A30">
        <w:rPr>
          <w:snapToGrid w:val="0"/>
        </w:rPr>
        <w:t xml:space="preserve">Dosis: inicial 2,5-5 mg/día en 2 tomas; de mantenimiento: 10-20 mg/día en 2 tomas. </w:t>
      </w:r>
    </w:p>
    <w:p w:rsidR="00C144EE" w:rsidRPr="00766A30" w:rsidRDefault="00C144EE" w:rsidP="00C144EE">
      <w:pPr>
        <w:ind w:left="720"/>
        <w:jc w:val="both"/>
        <w:rPr>
          <w:snapToGrid w:val="0"/>
        </w:rPr>
      </w:pPr>
    </w:p>
    <w:p w:rsidR="00C144EE" w:rsidRPr="00766A30" w:rsidRDefault="00C144EE" w:rsidP="00396EBC">
      <w:pPr>
        <w:numPr>
          <w:ilvl w:val="0"/>
          <w:numId w:val="28"/>
        </w:numPr>
        <w:spacing w:after="0" w:line="240" w:lineRule="auto"/>
        <w:jc w:val="both"/>
        <w:rPr>
          <w:snapToGrid w:val="0"/>
        </w:rPr>
      </w:pPr>
      <w:r w:rsidRPr="00766A30">
        <w:rPr>
          <w:snapToGrid w:val="0"/>
        </w:rPr>
        <w:t xml:space="preserve">Pacientes con hipertensión arterial esencial con indicación de tratamiento farmacológico y en quienes están contraindicados los diuréticos y/o los betabloqueantes. Dosis: inicial 5mg/día una vez al día; de mantenimiento: 10-40 mg/día en 1 o 2 tomas. </w:t>
      </w:r>
    </w:p>
    <w:p w:rsidR="00C144EE" w:rsidRPr="00766A30" w:rsidRDefault="00C144EE" w:rsidP="00396EBC">
      <w:pPr>
        <w:numPr>
          <w:ilvl w:val="0"/>
          <w:numId w:val="28"/>
        </w:numPr>
        <w:spacing w:after="0" w:line="240" w:lineRule="auto"/>
        <w:jc w:val="both"/>
        <w:rPr>
          <w:rFonts w:cs="Arial"/>
        </w:rPr>
      </w:pPr>
      <w:r w:rsidRPr="00766A30">
        <w:rPr>
          <w:snapToGrid w:val="0"/>
        </w:rPr>
        <w:t xml:space="preserve">Pacientes con nefropatía diabética manifestada por proteinuria leve o en cualquiera de sus estadios funcionales con hipertensión arterial asociada. Los inhibidores de la enzima </w:t>
      </w:r>
      <w:proofErr w:type="spellStart"/>
      <w:r w:rsidRPr="00766A30">
        <w:rPr>
          <w:snapToGrid w:val="0"/>
        </w:rPr>
        <w:t>convertidora</w:t>
      </w:r>
      <w:proofErr w:type="spellEnd"/>
      <w:r w:rsidRPr="00766A30">
        <w:rPr>
          <w:snapToGrid w:val="0"/>
        </w:rPr>
        <w:t xml:space="preserve"> de angiotensina (IECA) tienen mayor eficacia clínica que otros agentes (bloqueantes cálcicos no </w:t>
      </w:r>
      <w:proofErr w:type="spellStart"/>
      <w:r w:rsidRPr="00766A30">
        <w:rPr>
          <w:snapToGrid w:val="0"/>
        </w:rPr>
        <w:t>dihidropirídinicos</w:t>
      </w:r>
      <w:proofErr w:type="spellEnd"/>
      <w:r w:rsidRPr="00766A30">
        <w:rPr>
          <w:snapToGrid w:val="0"/>
        </w:rPr>
        <w:t xml:space="preserve"> y beta bloqueantes en retardar la progresión de la nefropatía en el diabético y preservar su función renal residual. Dosis: inicial 5mg/día una vez al día; y de mantenimiento: 10-20 mg/día en 1 o 2 tomas.  </w:t>
      </w:r>
    </w:p>
    <w:p w:rsidR="00C144EE" w:rsidRPr="00766A30" w:rsidRDefault="00C144EE" w:rsidP="00C144EE">
      <w:pPr>
        <w:jc w:val="both"/>
        <w:rPr>
          <w:snapToGrid w:val="0"/>
        </w:rPr>
      </w:pPr>
    </w:p>
    <w:p w:rsidR="00C144EE" w:rsidRPr="00766A30" w:rsidRDefault="00C144EE" w:rsidP="00C144EE">
      <w:pPr>
        <w:tabs>
          <w:tab w:val="num" w:pos="720"/>
        </w:tabs>
        <w:ind w:left="720" w:hanging="360"/>
        <w:jc w:val="both"/>
        <w:rPr>
          <w:snapToGrid w:val="0"/>
        </w:rPr>
      </w:pPr>
      <w:r w:rsidRPr="00766A30">
        <w:rPr>
          <w:snapToGrid w:val="0"/>
          <w:u w:val="single"/>
        </w:rPr>
        <w:t>Nota:</w:t>
      </w:r>
      <w:r w:rsidRPr="00766A30">
        <w:rPr>
          <w:snapToGrid w:val="0"/>
        </w:rPr>
        <w:t xml:space="preserve"> en tratamiento combinado con </w:t>
      </w:r>
      <w:proofErr w:type="spellStart"/>
      <w:r w:rsidRPr="00766A30">
        <w:rPr>
          <w:snapToGrid w:val="0"/>
        </w:rPr>
        <w:t>tiazidas</w:t>
      </w:r>
      <w:proofErr w:type="spellEnd"/>
      <w:r w:rsidRPr="00766A30">
        <w:rPr>
          <w:snapToGrid w:val="0"/>
        </w:rPr>
        <w:t xml:space="preserve"> para cualquiera de las situaciones clínicas planteadas no debe asociarse con fármacos ahorradores de potasio ni deben aportarse suplementos del mismo.</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rPr>
      </w:pPr>
      <w:r w:rsidRPr="00766A30">
        <w:rPr>
          <w:rFonts w:cs="Arial"/>
          <w:b/>
          <w:i/>
          <w:color w:val="00B050"/>
        </w:rPr>
        <w:t>C09CA</w:t>
      </w:r>
      <w:r w:rsidRPr="00766A30">
        <w:rPr>
          <w:rFonts w:cs="Arial"/>
          <w:b/>
          <w:i/>
          <w:color w:val="00B050"/>
        </w:rPr>
        <w:tab/>
        <w:t>ANTAGONISTAS DE LA ANGIOTENSINA II</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Fonts w:cs="Arial"/>
        </w:rPr>
        <w:t xml:space="preserve">La investigación y desarrollo de los ARA-II siguió el camino que marcaron  los IECA; las evidencias principales del grupo </w:t>
      </w:r>
      <w:r w:rsidRPr="00766A30">
        <w:rPr>
          <w:rStyle w:val="textrevista1"/>
          <w:rFonts w:asciiTheme="minorHAnsi" w:hAnsiTheme="minorHAnsi"/>
          <w:sz w:val="22"/>
          <w:szCs w:val="22"/>
        </w:rPr>
        <w:t xml:space="preserve">son: Estudio ELITE II comparó </w:t>
      </w:r>
      <w:proofErr w:type="spellStart"/>
      <w:r w:rsidRPr="00766A30">
        <w:rPr>
          <w:rStyle w:val="textrevista1"/>
          <w:rFonts w:asciiTheme="minorHAnsi" w:hAnsiTheme="minorHAnsi"/>
          <w:sz w:val="22"/>
          <w:szCs w:val="22"/>
        </w:rPr>
        <w:t>losartan</w:t>
      </w:r>
      <w:proofErr w:type="spellEnd"/>
      <w:r w:rsidRPr="00766A30">
        <w:rPr>
          <w:rStyle w:val="textrevista1"/>
          <w:rFonts w:asciiTheme="minorHAnsi" w:hAnsiTheme="minorHAnsi"/>
          <w:sz w:val="22"/>
          <w:szCs w:val="22"/>
        </w:rPr>
        <w:t xml:space="preserve"> vs. </w:t>
      </w:r>
      <w:proofErr w:type="spellStart"/>
      <w:proofErr w:type="gramStart"/>
      <w:r w:rsidRPr="00766A30">
        <w:rPr>
          <w:rStyle w:val="textrevista1"/>
          <w:rFonts w:asciiTheme="minorHAnsi" w:hAnsiTheme="minorHAnsi"/>
          <w:sz w:val="22"/>
          <w:szCs w:val="22"/>
        </w:rPr>
        <w:t>captopril</w:t>
      </w:r>
      <w:proofErr w:type="spellEnd"/>
      <w:proofErr w:type="gramEnd"/>
      <w:r w:rsidRPr="00766A30">
        <w:rPr>
          <w:rStyle w:val="textrevista1"/>
          <w:rFonts w:asciiTheme="minorHAnsi" w:hAnsiTheme="minorHAnsi"/>
          <w:sz w:val="22"/>
          <w:szCs w:val="22"/>
        </w:rPr>
        <w:t xml:space="preserve"> en IC sin observarse diferencias en el </w:t>
      </w:r>
      <w:proofErr w:type="spellStart"/>
      <w:r w:rsidRPr="00766A30">
        <w:rPr>
          <w:rStyle w:val="textrevista1"/>
          <w:rFonts w:asciiTheme="minorHAnsi" w:hAnsiTheme="minorHAnsi"/>
          <w:sz w:val="22"/>
          <w:szCs w:val="22"/>
        </w:rPr>
        <w:t>end-point</w:t>
      </w:r>
      <w:proofErr w:type="spellEnd"/>
      <w:r w:rsidRPr="00766A30">
        <w:rPr>
          <w:rStyle w:val="textrevista1"/>
          <w:rFonts w:asciiTheme="minorHAnsi" w:hAnsiTheme="minorHAnsi"/>
          <w:sz w:val="22"/>
          <w:szCs w:val="22"/>
        </w:rPr>
        <w:t xml:space="preserve"> primario entre ambos (mortalidad por todas las causas) demostrándose mejor tolerancia a los ARA-II. </w:t>
      </w: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El estudio CHARM</w:t>
      </w:r>
      <w:r w:rsidRPr="00766A30">
        <w:rPr>
          <w:rStyle w:val="textrevista1"/>
          <w:rFonts w:asciiTheme="minorHAnsi" w:hAnsiTheme="minorHAnsi"/>
          <w:sz w:val="22"/>
          <w:szCs w:val="22"/>
          <w:vertAlign w:val="superscript"/>
        </w:rPr>
        <w:t xml:space="preserve"> </w:t>
      </w:r>
      <w:r w:rsidRPr="00766A30">
        <w:rPr>
          <w:rStyle w:val="textrevista1"/>
          <w:rFonts w:asciiTheme="minorHAnsi" w:hAnsiTheme="minorHAnsi"/>
          <w:sz w:val="22"/>
          <w:szCs w:val="22"/>
        </w:rPr>
        <w:t xml:space="preserve">en pacientes con IC clase II-IV de NYHA, en sus tres brazos: CHARM alternativo en IC con FE &lt; de 40% con </w:t>
      </w:r>
      <w:proofErr w:type="spellStart"/>
      <w:r w:rsidRPr="00766A30">
        <w:rPr>
          <w:rStyle w:val="textrevista1"/>
          <w:rFonts w:asciiTheme="minorHAnsi" w:hAnsiTheme="minorHAnsi"/>
          <w:sz w:val="22"/>
          <w:szCs w:val="22"/>
        </w:rPr>
        <w:t>candesartan</w:t>
      </w:r>
      <w:proofErr w:type="spellEnd"/>
      <w:r w:rsidRPr="00766A30">
        <w:rPr>
          <w:rStyle w:val="textrevista1"/>
          <w:rFonts w:asciiTheme="minorHAnsi" w:hAnsiTheme="minorHAnsi"/>
          <w:sz w:val="22"/>
          <w:szCs w:val="22"/>
        </w:rPr>
        <w:t xml:space="preserve"> vs. </w:t>
      </w:r>
      <w:proofErr w:type="gramStart"/>
      <w:r w:rsidRPr="00766A30">
        <w:rPr>
          <w:rStyle w:val="textrevista1"/>
          <w:rFonts w:asciiTheme="minorHAnsi" w:hAnsiTheme="minorHAnsi"/>
          <w:sz w:val="22"/>
          <w:szCs w:val="22"/>
        </w:rPr>
        <w:t>placebo</w:t>
      </w:r>
      <w:proofErr w:type="gramEnd"/>
      <w:r w:rsidRPr="00766A30">
        <w:rPr>
          <w:rStyle w:val="textrevista1"/>
          <w:rFonts w:asciiTheme="minorHAnsi" w:hAnsiTheme="minorHAnsi"/>
          <w:sz w:val="22"/>
          <w:szCs w:val="22"/>
        </w:rPr>
        <w:t xml:space="preserve"> intolerantes a IECA, CHARM añadido en IC con FE &lt; 40% añadiendo al IECA </w:t>
      </w:r>
      <w:proofErr w:type="spellStart"/>
      <w:r w:rsidRPr="00766A30">
        <w:rPr>
          <w:rStyle w:val="textrevista1"/>
          <w:rFonts w:asciiTheme="minorHAnsi" w:hAnsiTheme="minorHAnsi"/>
          <w:sz w:val="22"/>
          <w:szCs w:val="22"/>
        </w:rPr>
        <w:t>candesartan</w:t>
      </w:r>
      <w:proofErr w:type="spellEnd"/>
      <w:r w:rsidRPr="00766A30">
        <w:rPr>
          <w:rStyle w:val="textrevista1"/>
          <w:rFonts w:asciiTheme="minorHAnsi" w:hAnsiTheme="minorHAnsi"/>
          <w:sz w:val="22"/>
          <w:szCs w:val="22"/>
        </w:rPr>
        <w:t xml:space="preserve"> versus placebo y el CHARM Preservado con IC con FE conservada con </w:t>
      </w:r>
      <w:proofErr w:type="spellStart"/>
      <w:r w:rsidRPr="00766A30">
        <w:rPr>
          <w:rStyle w:val="textrevista1"/>
          <w:rFonts w:asciiTheme="minorHAnsi" w:hAnsiTheme="minorHAnsi"/>
          <w:sz w:val="22"/>
          <w:szCs w:val="22"/>
        </w:rPr>
        <w:t>candesartan</w:t>
      </w:r>
      <w:proofErr w:type="spellEnd"/>
      <w:r w:rsidRPr="00766A30">
        <w:rPr>
          <w:rStyle w:val="textrevista1"/>
          <w:rFonts w:asciiTheme="minorHAnsi" w:hAnsiTheme="minorHAnsi"/>
          <w:sz w:val="22"/>
          <w:szCs w:val="22"/>
        </w:rPr>
        <w:t xml:space="preserve"> versus placebo. Con disminución en los dos primeros de la mortalidad total, cardiovascular y hospitalización por IC en el grupo de ARA II. En el CHARM preservado solo mejoró las hospitalizaciones por IC. </w:t>
      </w:r>
    </w:p>
    <w:p w:rsidR="00C144EE" w:rsidRPr="00766A30" w:rsidRDefault="00C144EE" w:rsidP="00C144EE">
      <w:pPr>
        <w:tabs>
          <w:tab w:val="left" w:pos="1320"/>
        </w:tabs>
        <w:ind w:left="113"/>
        <w:jc w:val="both"/>
        <w:rPr>
          <w:rFonts w:cs="Arial"/>
        </w:rPr>
      </w:pPr>
      <w:r w:rsidRPr="00766A30">
        <w:rPr>
          <w:rStyle w:val="textrevista1"/>
          <w:rFonts w:asciiTheme="minorHAnsi" w:hAnsiTheme="minorHAnsi"/>
          <w:sz w:val="22"/>
          <w:szCs w:val="22"/>
        </w:rPr>
        <w:t xml:space="preserve">En esta misma línea el estudio VAL-HELFT que comparó </w:t>
      </w:r>
      <w:proofErr w:type="spellStart"/>
      <w:r w:rsidRPr="00766A30">
        <w:rPr>
          <w:rStyle w:val="textrevista1"/>
          <w:rFonts w:asciiTheme="minorHAnsi" w:hAnsiTheme="minorHAnsi"/>
          <w:sz w:val="22"/>
          <w:szCs w:val="22"/>
        </w:rPr>
        <w:t>valsartan</w:t>
      </w:r>
      <w:proofErr w:type="spellEnd"/>
      <w:r w:rsidRPr="00766A30">
        <w:rPr>
          <w:rStyle w:val="textrevista1"/>
          <w:rFonts w:asciiTheme="minorHAnsi" w:hAnsiTheme="minorHAnsi"/>
          <w:sz w:val="22"/>
          <w:szCs w:val="22"/>
        </w:rPr>
        <w:t xml:space="preserve"> versus placebo añadidos al tratamiento habitual con IECA, en pacientes con IC clase II-IV sin encontrar modificaciones en mortalidad.</w:t>
      </w:r>
    </w:p>
    <w:p w:rsidR="00C144EE" w:rsidRPr="00766A30" w:rsidRDefault="00C144EE" w:rsidP="00C144EE">
      <w:pPr>
        <w:tabs>
          <w:tab w:val="left" w:pos="1320"/>
        </w:tabs>
        <w:ind w:left="113"/>
        <w:jc w:val="both"/>
        <w:rPr>
          <w:rStyle w:val="textrevista1"/>
          <w:rFonts w:asciiTheme="minorHAnsi" w:hAnsiTheme="minorHAnsi"/>
          <w:sz w:val="22"/>
          <w:szCs w:val="22"/>
        </w:rPr>
      </w:pP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 xml:space="preserve">En infarto de miocardio con signos de IC </w:t>
      </w:r>
      <w:proofErr w:type="spellStart"/>
      <w:r w:rsidRPr="00766A30">
        <w:rPr>
          <w:rStyle w:val="textrevista1"/>
          <w:rFonts w:asciiTheme="minorHAnsi" w:hAnsiTheme="minorHAnsi"/>
          <w:sz w:val="22"/>
          <w:szCs w:val="22"/>
        </w:rPr>
        <w:t>ó</w:t>
      </w:r>
      <w:proofErr w:type="spellEnd"/>
      <w:r w:rsidRPr="00766A30">
        <w:rPr>
          <w:rStyle w:val="textrevista1"/>
          <w:rFonts w:asciiTheme="minorHAnsi" w:hAnsiTheme="minorHAnsi"/>
          <w:sz w:val="22"/>
          <w:szCs w:val="22"/>
        </w:rPr>
        <w:t xml:space="preserve"> disfunción ventricular izquierda se destacan dos estudios: a) OPTIMAL con </w:t>
      </w:r>
      <w:proofErr w:type="spellStart"/>
      <w:r w:rsidRPr="00766A30">
        <w:rPr>
          <w:rStyle w:val="textrevista1"/>
          <w:rFonts w:asciiTheme="minorHAnsi" w:hAnsiTheme="minorHAnsi"/>
          <w:sz w:val="22"/>
          <w:szCs w:val="22"/>
        </w:rPr>
        <w:t>losartan</w:t>
      </w:r>
      <w:proofErr w:type="spellEnd"/>
      <w:r w:rsidRPr="00766A30">
        <w:rPr>
          <w:rStyle w:val="textrevista1"/>
          <w:rFonts w:asciiTheme="minorHAnsi" w:hAnsiTheme="minorHAnsi"/>
          <w:sz w:val="22"/>
          <w:szCs w:val="22"/>
        </w:rPr>
        <w:t xml:space="preserve"> versus </w:t>
      </w:r>
      <w:proofErr w:type="spellStart"/>
      <w:r w:rsidRPr="00766A30">
        <w:rPr>
          <w:rStyle w:val="textrevista1"/>
          <w:rFonts w:asciiTheme="minorHAnsi" w:hAnsiTheme="minorHAnsi"/>
          <w:sz w:val="22"/>
          <w:szCs w:val="22"/>
        </w:rPr>
        <w:t>captopril</w:t>
      </w:r>
      <w:proofErr w:type="spellEnd"/>
      <w:r w:rsidRPr="00766A30">
        <w:rPr>
          <w:rStyle w:val="textrevista1"/>
          <w:rFonts w:asciiTheme="minorHAnsi" w:hAnsiTheme="minorHAnsi"/>
          <w:sz w:val="22"/>
          <w:szCs w:val="22"/>
        </w:rPr>
        <w:t xml:space="preserve"> en </w:t>
      </w:r>
      <w:proofErr w:type="spellStart"/>
      <w:r w:rsidRPr="00766A30">
        <w:rPr>
          <w:rStyle w:val="textrevista1"/>
          <w:rFonts w:asciiTheme="minorHAnsi" w:hAnsiTheme="minorHAnsi"/>
          <w:sz w:val="22"/>
          <w:szCs w:val="22"/>
        </w:rPr>
        <w:t>postinfarto</w:t>
      </w:r>
      <w:proofErr w:type="spellEnd"/>
      <w:r w:rsidRPr="00766A30">
        <w:rPr>
          <w:rStyle w:val="textrevista1"/>
          <w:rFonts w:asciiTheme="minorHAnsi" w:hAnsiTheme="minorHAnsi"/>
          <w:sz w:val="22"/>
          <w:szCs w:val="22"/>
        </w:rPr>
        <w:t xml:space="preserve"> de miocardio con insuficiencia cardiaca o alto riesgo de desarrollarla, no se demostró el criterio principal de no inferioridad en mortalidad total y cardiovascular del ARA-II y b) VALIANT con </w:t>
      </w:r>
      <w:proofErr w:type="spellStart"/>
      <w:r w:rsidRPr="00766A30">
        <w:rPr>
          <w:rStyle w:val="textrevista1"/>
          <w:rFonts w:asciiTheme="minorHAnsi" w:hAnsiTheme="minorHAnsi"/>
          <w:sz w:val="22"/>
          <w:szCs w:val="22"/>
        </w:rPr>
        <w:t>valsartan</w:t>
      </w:r>
      <w:proofErr w:type="spellEnd"/>
      <w:r w:rsidRPr="00766A30">
        <w:rPr>
          <w:rStyle w:val="textrevista1"/>
          <w:rFonts w:asciiTheme="minorHAnsi" w:hAnsiTheme="minorHAnsi"/>
          <w:sz w:val="22"/>
          <w:szCs w:val="22"/>
        </w:rPr>
        <w:t xml:space="preserve"> versus </w:t>
      </w:r>
      <w:proofErr w:type="spellStart"/>
      <w:r w:rsidRPr="00766A30">
        <w:rPr>
          <w:rStyle w:val="textrevista1"/>
          <w:rFonts w:asciiTheme="minorHAnsi" w:hAnsiTheme="minorHAnsi"/>
          <w:sz w:val="22"/>
          <w:szCs w:val="22"/>
        </w:rPr>
        <w:t>captopril</w:t>
      </w:r>
      <w:proofErr w:type="spellEnd"/>
      <w:r w:rsidRPr="00766A30">
        <w:rPr>
          <w:rStyle w:val="textrevista1"/>
          <w:rFonts w:asciiTheme="minorHAnsi" w:hAnsiTheme="minorHAnsi"/>
          <w:sz w:val="22"/>
          <w:szCs w:val="22"/>
        </w:rPr>
        <w:t xml:space="preserve"> en pacientes con IM e IC </w:t>
      </w:r>
      <w:proofErr w:type="spellStart"/>
      <w:r w:rsidRPr="00766A30">
        <w:rPr>
          <w:rStyle w:val="textrevista1"/>
          <w:rFonts w:asciiTheme="minorHAnsi" w:hAnsiTheme="minorHAnsi"/>
          <w:sz w:val="22"/>
          <w:szCs w:val="22"/>
        </w:rPr>
        <w:t>ó</w:t>
      </w:r>
      <w:proofErr w:type="spellEnd"/>
      <w:r w:rsidRPr="00766A30">
        <w:rPr>
          <w:rStyle w:val="textrevista1"/>
          <w:rFonts w:asciiTheme="minorHAnsi" w:hAnsiTheme="minorHAnsi"/>
          <w:sz w:val="22"/>
          <w:szCs w:val="22"/>
        </w:rPr>
        <w:t xml:space="preserve"> disfunción ventricular izquierda demostrándose la no inferioridad en mortalidad total y cardiovascular y menos efectos adversos para el ARA-II. </w:t>
      </w:r>
    </w:p>
    <w:p w:rsidR="00C144EE" w:rsidRPr="00766A30" w:rsidRDefault="00C144EE" w:rsidP="00C144EE">
      <w:pPr>
        <w:tabs>
          <w:tab w:val="left" w:pos="1320"/>
        </w:tabs>
        <w:ind w:left="113"/>
        <w:jc w:val="both"/>
        <w:rPr>
          <w:rStyle w:val="textrevista1"/>
          <w:rFonts w:asciiTheme="minorHAnsi" w:hAnsiTheme="minorHAnsi"/>
          <w:sz w:val="22"/>
          <w:szCs w:val="22"/>
        </w:rPr>
      </w:pP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 xml:space="preserve">Sobre prevención de ECV se condujo el estudio ONTARGET comparando </w:t>
      </w:r>
      <w:proofErr w:type="spellStart"/>
      <w:r w:rsidRPr="00766A30">
        <w:rPr>
          <w:rStyle w:val="textrevista1"/>
          <w:rFonts w:asciiTheme="minorHAnsi" w:hAnsiTheme="minorHAnsi"/>
          <w:sz w:val="22"/>
          <w:szCs w:val="22"/>
        </w:rPr>
        <w:t>telmisartan</w:t>
      </w:r>
      <w:proofErr w:type="spellEnd"/>
      <w:r w:rsidRPr="00766A30">
        <w:rPr>
          <w:rStyle w:val="textrevista1"/>
          <w:rFonts w:asciiTheme="minorHAnsi" w:hAnsiTheme="minorHAnsi"/>
          <w:sz w:val="22"/>
          <w:szCs w:val="22"/>
        </w:rPr>
        <w:t xml:space="preserve"> versus </w:t>
      </w:r>
      <w:proofErr w:type="spellStart"/>
      <w:r w:rsidRPr="00766A30">
        <w:rPr>
          <w:rStyle w:val="textrevista1"/>
          <w:rFonts w:asciiTheme="minorHAnsi" w:hAnsiTheme="minorHAnsi"/>
          <w:sz w:val="22"/>
          <w:szCs w:val="22"/>
        </w:rPr>
        <w:t>ramipril</w:t>
      </w:r>
      <w:proofErr w:type="spellEnd"/>
      <w:r w:rsidRPr="00766A30">
        <w:rPr>
          <w:rStyle w:val="textrevista1"/>
          <w:rFonts w:asciiTheme="minorHAnsi" w:hAnsiTheme="minorHAnsi"/>
          <w:sz w:val="22"/>
          <w:szCs w:val="22"/>
        </w:rPr>
        <w:t xml:space="preserve"> y la asociación de ambos, el estudio TRASCEND valora en el mismo grupo de pacientes </w:t>
      </w:r>
      <w:proofErr w:type="spellStart"/>
      <w:r w:rsidRPr="00766A30">
        <w:rPr>
          <w:rStyle w:val="textrevista1"/>
          <w:rFonts w:asciiTheme="minorHAnsi" w:hAnsiTheme="minorHAnsi"/>
          <w:sz w:val="22"/>
          <w:szCs w:val="22"/>
        </w:rPr>
        <w:t>telmisartan</w:t>
      </w:r>
      <w:proofErr w:type="spellEnd"/>
      <w:r w:rsidRPr="00766A30">
        <w:rPr>
          <w:rStyle w:val="textrevista1"/>
          <w:rFonts w:asciiTheme="minorHAnsi" w:hAnsiTheme="minorHAnsi"/>
          <w:sz w:val="22"/>
          <w:szCs w:val="22"/>
        </w:rPr>
        <w:t xml:space="preserve"> versus placebo en los pacientes con intolerancia a IECAS. </w:t>
      </w:r>
    </w:p>
    <w:p w:rsidR="00C144EE" w:rsidRPr="00766A30" w:rsidRDefault="00C144EE" w:rsidP="00C144EE">
      <w:pPr>
        <w:tabs>
          <w:tab w:val="left" w:pos="1320"/>
        </w:tabs>
        <w:ind w:left="113"/>
        <w:jc w:val="both"/>
        <w:rPr>
          <w:rStyle w:val="textrevista1"/>
          <w:rFonts w:asciiTheme="minorHAnsi" w:hAnsiTheme="minorHAnsi"/>
          <w:sz w:val="22"/>
          <w:szCs w:val="22"/>
        </w:rPr>
      </w:pP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El estudio ONTARGET</w:t>
      </w:r>
      <w:r w:rsidRPr="00766A30">
        <w:rPr>
          <w:rStyle w:val="textrevista1"/>
          <w:rFonts w:asciiTheme="minorHAnsi" w:hAnsiTheme="minorHAnsi"/>
          <w:sz w:val="22"/>
          <w:szCs w:val="22"/>
          <w:vertAlign w:val="superscript"/>
        </w:rPr>
        <w:t xml:space="preserve"> </w:t>
      </w:r>
      <w:r w:rsidRPr="00766A30">
        <w:rPr>
          <w:rStyle w:val="textrevista1"/>
          <w:rFonts w:asciiTheme="minorHAnsi" w:hAnsiTheme="minorHAnsi"/>
          <w:sz w:val="22"/>
          <w:szCs w:val="22"/>
        </w:rPr>
        <w:t xml:space="preserve">es el mayor estudio realizado que analiza estrategias terapéuticas en la reducción de la morbilidad y mortalidad cardiovascular en pacientes de alto riesgo cardiovascular. </w:t>
      </w:r>
    </w:p>
    <w:p w:rsidR="00C144EE" w:rsidRPr="00766A30" w:rsidRDefault="00C144EE" w:rsidP="00C144EE">
      <w:pPr>
        <w:tabs>
          <w:tab w:val="left" w:pos="1320"/>
        </w:tabs>
        <w:ind w:left="113"/>
        <w:jc w:val="both"/>
        <w:rPr>
          <w:rStyle w:val="textrevista1"/>
          <w:rFonts w:asciiTheme="minorHAnsi" w:hAnsiTheme="minorHAnsi"/>
          <w:sz w:val="22"/>
          <w:szCs w:val="22"/>
        </w:rPr>
      </w:pPr>
      <w:r w:rsidRPr="00766A30">
        <w:rPr>
          <w:rStyle w:val="textrevista1"/>
          <w:rFonts w:asciiTheme="minorHAnsi" w:hAnsiTheme="minorHAnsi"/>
          <w:sz w:val="22"/>
          <w:szCs w:val="22"/>
        </w:rPr>
        <w:t xml:space="preserve">Se trata de 25.620 individuos  (mayores de 55 años) con datos clínicos de enfermedad vascular (enfermedad coronaria, enfermedad cerebrovascular o </w:t>
      </w:r>
      <w:proofErr w:type="spellStart"/>
      <w:r w:rsidRPr="00766A30">
        <w:rPr>
          <w:rStyle w:val="textrevista1"/>
          <w:rFonts w:asciiTheme="minorHAnsi" w:hAnsiTheme="minorHAnsi"/>
          <w:sz w:val="22"/>
          <w:szCs w:val="22"/>
        </w:rPr>
        <w:t>arteriopatía</w:t>
      </w:r>
      <w:proofErr w:type="spellEnd"/>
      <w:r w:rsidRPr="00766A30">
        <w:rPr>
          <w:rStyle w:val="textrevista1"/>
          <w:rFonts w:asciiTheme="minorHAnsi" w:hAnsiTheme="minorHAnsi"/>
          <w:sz w:val="22"/>
          <w:szCs w:val="22"/>
        </w:rPr>
        <w:t xml:space="preserve"> diabética) o de diabetes mellitus de alto riesgo y sin insuficiencia cardiaca, seguidos entre 2001 y 2007. </w:t>
      </w:r>
    </w:p>
    <w:p w:rsidR="00C144EE" w:rsidRPr="00766A30" w:rsidRDefault="00C144EE" w:rsidP="00C144EE">
      <w:pPr>
        <w:tabs>
          <w:tab w:val="left" w:pos="1320"/>
        </w:tabs>
        <w:ind w:left="113"/>
        <w:jc w:val="both"/>
        <w:rPr>
          <w:rStyle w:val="textrevista1"/>
          <w:rFonts w:asciiTheme="minorHAnsi" w:hAnsiTheme="minorHAnsi"/>
          <w:sz w:val="22"/>
          <w:szCs w:val="22"/>
        </w:rPr>
      </w:pPr>
    </w:p>
    <w:p w:rsidR="00C144EE" w:rsidRPr="00766A30" w:rsidRDefault="00C144EE" w:rsidP="00C144EE">
      <w:pPr>
        <w:tabs>
          <w:tab w:val="left" w:pos="1320"/>
        </w:tabs>
        <w:ind w:left="113"/>
        <w:jc w:val="both"/>
        <w:rPr>
          <w:color w:val="000000"/>
        </w:rPr>
      </w:pPr>
      <w:r w:rsidRPr="00766A30">
        <w:rPr>
          <w:rStyle w:val="textrevista1"/>
          <w:rFonts w:asciiTheme="minorHAnsi" w:hAnsiTheme="minorHAnsi"/>
          <w:sz w:val="22"/>
          <w:szCs w:val="22"/>
        </w:rPr>
        <w:t xml:space="preserve">En sus resultados, ONTARGET no mostró diferencias entre </w:t>
      </w:r>
      <w:proofErr w:type="spellStart"/>
      <w:r w:rsidRPr="00766A30">
        <w:rPr>
          <w:rStyle w:val="textrevista1"/>
          <w:rFonts w:asciiTheme="minorHAnsi" w:hAnsiTheme="minorHAnsi"/>
          <w:sz w:val="22"/>
          <w:szCs w:val="22"/>
        </w:rPr>
        <w:t>telmisartán</w:t>
      </w:r>
      <w:proofErr w:type="spellEnd"/>
      <w:r w:rsidRPr="00766A30">
        <w:rPr>
          <w:rStyle w:val="textrevista1"/>
          <w:rFonts w:asciiTheme="minorHAnsi" w:hAnsiTheme="minorHAnsi"/>
          <w:sz w:val="22"/>
          <w:szCs w:val="22"/>
        </w:rPr>
        <w:t xml:space="preserve"> y </w:t>
      </w:r>
      <w:proofErr w:type="spellStart"/>
      <w:r w:rsidRPr="00766A30">
        <w:rPr>
          <w:rStyle w:val="textrevista1"/>
          <w:rFonts w:asciiTheme="minorHAnsi" w:hAnsiTheme="minorHAnsi"/>
          <w:sz w:val="22"/>
          <w:szCs w:val="22"/>
        </w:rPr>
        <w:t>ramipril</w:t>
      </w:r>
      <w:proofErr w:type="spellEnd"/>
      <w:r w:rsidRPr="00766A30">
        <w:rPr>
          <w:rStyle w:val="textrevista1"/>
          <w:rFonts w:asciiTheme="minorHAnsi" w:hAnsiTheme="minorHAnsi"/>
          <w:sz w:val="22"/>
          <w:szCs w:val="22"/>
        </w:rPr>
        <w:t xml:space="preserve"> –por vía de no inferioridad - para el </w:t>
      </w:r>
      <w:proofErr w:type="spellStart"/>
      <w:r w:rsidRPr="00766A30">
        <w:rPr>
          <w:rStyle w:val="textrevista1"/>
          <w:rFonts w:asciiTheme="minorHAnsi" w:hAnsiTheme="minorHAnsi"/>
          <w:sz w:val="22"/>
          <w:szCs w:val="22"/>
        </w:rPr>
        <w:t>endpoint</w:t>
      </w:r>
      <w:proofErr w:type="spellEnd"/>
      <w:r w:rsidRPr="00766A30">
        <w:rPr>
          <w:rStyle w:val="textrevista1"/>
          <w:rFonts w:asciiTheme="minorHAnsi" w:hAnsiTheme="minorHAnsi"/>
          <w:sz w:val="22"/>
          <w:szCs w:val="22"/>
        </w:rPr>
        <w:t xml:space="preserve"> principal compuesto; también mostró que el grupo de tratamiento combinado </w:t>
      </w:r>
      <w:proofErr w:type="spellStart"/>
      <w:r w:rsidRPr="00766A30">
        <w:rPr>
          <w:color w:val="000000"/>
        </w:rPr>
        <w:t>ramipril-telmisartan</w:t>
      </w:r>
      <w:proofErr w:type="spellEnd"/>
      <w:r w:rsidRPr="00766A30">
        <w:rPr>
          <w:color w:val="000000"/>
        </w:rPr>
        <w:t xml:space="preserve"> redujo las cifras de presión arterial (PA)  8,4/6,0 </w:t>
      </w:r>
      <w:proofErr w:type="spellStart"/>
      <w:r w:rsidRPr="00766A30">
        <w:rPr>
          <w:color w:val="000000"/>
        </w:rPr>
        <w:t>mmHg</w:t>
      </w:r>
      <w:proofErr w:type="spellEnd"/>
      <w:r w:rsidRPr="00766A30">
        <w:rPr>
          <w:color w:val="000000"/>
        </w:rPr>
        <w:t xml:space="preserve">, mientras que en la rama </w:t>
      </w:r>
      <w:proofErr w:type="spellStart"/>
      <w:r w:rsidRPr="00766A30">
        <w:rPr>
          <w:color w:val="000000"/>
        </w:rPr>
        <w:t>ramipril</w:t>
      </w:r>
      <w:proofErr w:type="spellEnd"/>
      <w:r w:rsidRPr="00766A30">
        <w:rPr>
          <w:color w:val="000000"/>
        </w:rPr>
        <w:t xml:space="preserve"> la reducción fue de 6/4,6 </w:t>
      </w:r>
      <w:proofErr w:type="spellStart"/>
      <w:r w:rsidRPr="00766A30">
        <w:rPr>
          <w:color w:val="000000"/>
        </w:rPr>
        <w:t>mmHg</w:t>
      </w:r>
      <w:proofErr w:type="spellEnd"/>
      <w:r w:rsidRPr="00766A30">
        <w:rPr>
          <w:color w:val="000000"/>
        </w:rPr>
        <w:t xml:space="preserve"> para la TAS y la TAD respectivamente.</w:t>
      </w:r>
    </w:p>
    <w:p w:rsidR="00C144EE" w:rsidRPr="00766A30" w:rsidRDefault="00C144EE" w:rsidP="00C144EE">
      <w:pPr>
        <w:tabs>
          <w:tab w:val="left" w:pos="1320"/>
        </w:tabs>
        <w:ind w:left="113"/>
        <w:jc w:val="both"/>
        <w:rPr>
          <w:color w:val="000000"/>
        </w:rPr>
      </w:pPr>
      <w:r w:rsidRPr="00766A30">
        <w:rPr>
          <w:color w:val="000000"/>
        </w:rPr>
        <w:t xml:space="preserve">Sin embargo, cuando se esperaba mayor impacto en la prevención de los eventos cardiovasculares por niveles de PA más bajos, no fue esto lo que ocurrió, ya que como vimos arriba, no se pudieron observar diferencias en la incidencia del objetivo primario compuesto, </w:t>
      </w:r>
      <w:r w:rsidRPr="00766A30">
        <w:rPr>
          <w:color w:val="000000"/>
        </w:rPr>
        <w:lastRenderedPageBreak/>
        <w:t>ni en cada uno de ellos de manera individual (muerte cardiovascular, infarto de miocardio o ataque cerebral).</w:t>
      </w:r>
    </w:p>
    <w:p w:rsidR="00C144EE" w:rsidRPr="00766A30" w:rsidRDefault="00C144EE" w:rsidP="00C144EE">
      <w:pPr>
        <w:tabs>
          <w:tab w:val="left" w:pos="1320"/>
        </w:tabs>
        <w:ind w:left="113"/>
        <w:jc w:val="both"/>
        <w:rPr>
          <w:rFonts w:cs="Arial"/>
        </w:rPr>
      </w:pPr>
      <w:r w:rsidRPr="00766A30">
        <w:rPr>
          <w:color w:val="000000"/>
        </w:rPr>
        <w:t xml:space="preserve">Por el contrario, en esta rama </w:t>
      </w:r>
      <w:proofErr w:type="spellStart"/>
      <w:r w:rsidRPr="00766A30">
        <w:rPr>
          <w:color w:val="000000"/>
        </w:rPr>
        <w:t>ramipril-telmisartan</w:t>
      </w:r>
      <w:proofErr w:type="spellEnd"/>
      <w:r w:rsidRPr="00766A30">
        <w:rPr>
          <w:color w:val="000000"/>
        </w:rPr>
        <w:t xml:space="preserve"> se observó un exceso significativo de disfunción renal y de disfunción renal como causa de evento adverso grave con aumento de la tasa de hemodiálisis. </w:t>
      </w:r>
    </w:p>
    <w:p w:rsidR="00C144EE" w:rsidRPr="00766A30" w:rsidRDefault="00C144EE" w:rsidP="00C144EE">
      <w:pPr>
        <w:tabs>
          <w:tab w:val="left" w:pos="1320"/>
        </w:tabs>
        <w:ind w:left="113"/>
        <w:jc w:val="both"/>
        <w:rPr>
          <w:rFonts w:cs="Arial"/>
        </w:rPr>
      </w:pPr>
    </w:p>
    <w:p w:rsidR="00C144EE" w:rsidRPr="00766A30" w:rsidRDefault="00C144EE" w:rsidP="00C144EE">
      <w:pPr>
        <w:tabs>
          <w:tab w:val="left" w:pos="1320"/>
        </w:tabs>
        <w:ind w:left="113"/>
        <w:jc w:val="both"/>
        <w:rPr>
          <w:rFonts w:cs="Arial"/>
        </w:rPr>
      </w:pPr>
      <w:r w:rsidRPr="00766A30">
        <w:rPr>
          <w:rFonts w:cs="Arial"/>
        </w:rPr>
        <w:t xml:space="preserve">El uso combinado de IECA y ARA-II </w:t>
      </w:r>
      <w:proofErr w:type="spellStart"/>
      <w:r w:rsidRPr="00766A30">
        <w:rPr>
          <w:rFonts w:cs="Arial"/>
        </w:rPr>
        <w:t>esta</w:t>
      </w:r>
      <w:proofErr w:type="spellEnd"/>
      <w:r w:rsidRPr="00766A30">
        <w:rPr>
          <w:rFonts w:cs="Arial"/>
        </w:rPr>
        <w:t xml:space="preserve"> definitivamente desaconsejado debido a sus resultados controvertidos sobre mortalidad (aumento de la mortalidad en el estudio RESOLD, sin beneficios en el estudio V-</w:t>
      </w:r>
      <w:proofErr w:type="spellStart"/>
      <w:r w:rsidRPr="00766A30">
        <w:rPr>
          <w:rFonts w:cs="Arial"/>
        </w:rPr>
        <w:t>Heft</w:t>
      </w:r>
      <w:proofErr w:type="spellEnd"/>
      <w:r w:rsidRPr="00766A30">
        <w:rPr>
          <w:rFonts w:cs="Arial"/>
        </w:rPr>
        <w:t xml:space="preserve"> con </w:t>
      </w:r>
      <w:proofErr w:type="spellStart"/>
      <w:r w:rsidRPr="00766A30">
        <w:rPr>
          <w:rFonts w:cs="Arial"/>
        </w:rPr>
        <w:t>valsartan</w:t>
      </w:r>
      <w:proofErr w:type="spellEnd"/>
      <w:r w:rsidRPr="00766A30">
        <w:rPr>
          <w:rFonts w:cs="Arial"/>
        </w:rPr>
        <w:t xml:space="preserve">, y </w:t>
      </w:r>
      <w:proofErr w:type="spellStart"/>
      <w:r w:rsidRPr="00766A30">
        <w:rPr>
          <w:rFonts w:cs="Arial"/>
        </w:rPr>
        <w:t>Charm</w:t>
      </w:r>
      <w:proofErr w:type="spellEnd"/>
      <w:r w:rsidRPr="00766A30">
        <w:rPr>
          <w:rFonts w:cs="Arial"/>
        </w:rPr>
        <w:t xml:space="preserve">-añadido donde </w:t>
      </w:r>
      <w:proofErr w:type="spellStart"/>
      <w:r w:rsidRPr="00766A30">
        <w:rPr>
          <w:rFonts w:cs="Arial"/>
        </w:rPr>
        <w:t>candesartán</w:t>
      </w:r>
      <w:proofErr w:type="spellEnd"/>
      <w:r w:rsidRPr="00766A30">
        <w:rPr>
          <w:rFonts w:cs="Arial"/>
        </w:rPr>
        <w:t xml:space="preserve"> redujo hospitalizaciones exclusivamente) y el relevante aumento de los efectos adversos de la combinación (empeoran función renal y provocan hipotensión e </w:t>
      </w:r>
      <w:proofErr w:type="spellStart"/>
      <w:r w:rsidRPr="00766A30">
        <w:rPr>
          <w:rFonts w:cs="Arial"/>
        </w:rPr>
        <w:t>hiperpotasemia</w:t>
      </w:r>
      <w:proofErr w:type="spellEnd"/>
      <w:r w:rsidRPr="00766A30">
        <w:rPr>
          <w:rFonts w:cs="Arial"/>
        </w:rPr>
        <w:t xml:space="preserve">). </w:t>
      </w:r>
    </w:p>
    <w:p w:rsidR="00C144EE" w:rsidRPr="00766A30" w:rsidRDefault="00C144EE" w:rsidP="00C144EE">
      <w:pPr>
        <w:tabs>
          <w:tab w:val="left" w:pos="1320"/>
        </w:tabs>
        <w:ind w:left="113"/>
        <w:jc w:val="both"/>
        <w:rPr>
          <w:rFonts w:cs="Arial"/>
        </w:rPr>
      </w:pPr>
      <w:r w:rsidRPr="00766A30">
        <w:rPr>
          <w:rFonts w:cs="Arial"/>
        </w:rPr>
        <w:t xml:space="preserve">Con respecto a los beneficios sobre riñón en pacientes diabéticos, los ARA-II muestran efectos similares a los IECA en DM tipo II, pero su impacto sobre mortalidad no está probado; tampoco hay datos sobre beneficios en DM tipo I. </w:t>
      </w:r>
    </w:p>
    <w:p w:rsidR="00C144EE" w:rsidRPr="00766A30" w:rsidRDefault="00C144EE" w:rsidP="00C144EE">
      <w:pPr>
        <w:tabs>
          <w:tab w:val="left" w:pos="1320"/>
        </w:tabs>
        <w:ind w:left="113"/>
        <w:jc w:val="both"/>
        <w:rPr>
          <w:rFonts w:cs="Arial"/>
        </w:rPr>
      </w:pPr>
    </w:p>
    <w:p w:rsidR="00C144EE" w:rsidRPr="00766A30" w:rsidRDefault="00C144EE" w:rsidP="00C144EE">
      <w:pPr>
        <w:tabs>
          <w:tab w:val="left" w:pos="1320"/>
        </w:tabs>
        <w:ind w:left="113"/>
        <w:jc w:val="both"/>
        <w:rPr>
          <w:rFonts w:cs="Arial"/>
        </w:rPr>
      </w:pPr>
      <w:r w:rsidRPr="00766A30">
        <w:rPr>
          <w:rFonts w:cs="Arial"/>
        </w:rPr>
        <w:t xml:space="preserve">Finalmente, los ARA-II solo han mostrado ventajas en seguridad frente a la tos que producen los IECA. Precisamente allí encuentran su lugar en la terapéutica racional, ya que su eficacia clínica y/o efectividad no supera a los inhibidores de la enzima </w:t>
      </w:r>
      <w:proofErr w:type="spellStart"/>
      <w:r w:rsidRPr="00766A30">
        <w:rPr>
          <w:rFonts w:cs="Arial"/>
        </w:rPr>
        <w:t>convertidora</w:t>
      </w:r>
      <w:proofErr w:type="spellEnd"/>
      <w:r w:rsidRPr="00766A30">
        <w:rPr>
          <w:rFonts w:cs="Arial"/>
        </w:rPr>
        <w:t xml:space="preserve"> de la angiotensina frente a ninguna de sus indicaciones, con un costo superior.  </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rPr>
      </w:pPr>
      <w:r w:rsidRPr="00766A30">
        <w:rPr>
          <w:rFonts w:cs="Arial"/>
          <w:b/>
          <w:i/>
          <w:color w:val="00B050"/>
        </w:rPr>
        <w:t xml:space="preserve">C09CA01  LOSARTAN </w:t>
      </w:r>
    </w:p>
    <w:p w:rsidR="00C144EE" w:rsidRPr="00766A30" w:rsidRDefault="00C144EE" w:rsidP="00396EBC">
      <w:pPr>
        <w:numPr>
          <w:ilvl w:val="0"/>
          <w:numId w:val="29"/>
        </w:numPr>
        <w:spacing w:after="0" w:line="240" w:lineRule="auto"/>
        <w:jc w:val="both"/>
        <w:rPr>
          <w:snapToGrid w:val="0"/>
        </w:rPr>
      </w:pPr>
      <w:r w:rsidRPr="00766A30">
        <w:rPr>
          <w:snapToGrid w:val="0"/>
        </w:rPr>
        <w:t>Pacientes con indicación de recibir IECA y que presenten tos persistente y otros problemas de seguridad con este fármaco (</w:t>
      </w:r>
      <w:proofErr w:type="spellStart"/>
      <w:r w:rsidRPr="00766A30">
        <w:rPr>
          <w:snapToGrid w:val="0"/>
        </w:rPr>
        <w:t>hiperpotasemia</w:t>
      </w:r>
      <w:proofErr w:type="spellEnd"/>
      <w:r w:rsidRPr="00766A30">
        <w:rPr>
          <w:snapToGrid w:val="0"/>
        </w:rPr>
        <w:t xml:space="preserve">, proteinuria, </w:t>
      </w:r>
      <w:proofErr w:type="spellStart"/>
      <w:r w:rsidRPr="00766A30">
        <w:rPr>
          <w:snapToGrid w:val="0"/>
        </w:rPr>
        <w:t>rash</w:t>
      </w:r>
      <w:proofErr w:type="spellEnd"/>
      <w:r w:rsidRPr="00766A30">
        <w:rPr>
          <w:snapToGrid w:val="0"/>
        </w:rPr>
        <w:t xml:space="preserve"> cutáneo, hipotensión excesiva entre otros efectos adversos posibles).</w:t>
      </w:r>
      <w:r w:rsidRPr="00766A30">
        <w:t xml:space="preserve"> Dosis: inicial 12,5-25 mg/día en una sola toma; de mantenimiento 50-100 </w:t>
      </w:r>
      <w:r w:rsidRPr="00766A30">
        <w:rPr>
          <w:snapToGrid w:val="0"/>
        </w:rPr>
        <w:t>mg/día en una sola toma.</w:t>
      </w:r>
    </w:p>
    <w:p w:rsidR="00C144EE" w:rsidRPr="00766A30" w:rsidRDefault="00C144EE" w:rsidP="00396EBC">
      <w:pPr>
        <w:numPr>
          <w:ilvl w:val="0"/>
          <w:numId w:val="29"/>
        </w:numPr>
        <w:spacing w:after="0" w:line="240" w:lineRule="auto"/>
        <w:jc w:val="both"/>
        <w:rPr>
          <w:snapToGrid w:val="0"/>
        </w:rPr>
      </w:pPr>
      <w:r w:rsidRPr="00766A30">
        <w:rPr>
          <w:snapToGrid w:val="0"/>
        </w:rPr>
        <w:t>Profilaxis de ACV en pacientes hipertensos con hipertrofia ventricular izquierda, exclusivamente. Dosis inicial: 50 mg, una vez al día en una sola toma; de mantenimiento 50-100 mg en tratamiento combinado con diuréticos.</w:t>
      </w:r>
    </w:p>
    <w:p w:rsidR="00A27BB4" w:rsidRPr="00A27BB4" w:rsidRDefault="00A27BB4" w:rsidP="00A27BB4">
      <w:pPr>
        <w:pStyle w:val="Textoindependiente"/>
        <w:ind w:left="360"/>
        <w:rPr>
          <w:rFonts w:ascii="Verdana" w:hAnsi="Verdana" w:cs="Arial"/>
          <w:b/>
          <w:i/>
          <w:color w:val="00B050"/>
          <w:sz w:val="22"/>
          <w:szCs w:val="22"/>
        </w:rPr>
      </w:pPr>
    </w:p>
    <w:p w:rsidR="00A27BB4" w:rsidRPr="00A27BB4" w:rsidRDefault="00A27BB4" w:rsidP="00A27BB4">
      <w:pPr>
        <w:tabs>
          <w:tab w:val="left" w:pos="1320"/>
        </w:tabs>
        <w:ind w:left="113"/>
        <w:rPr>
          <w:rFonts w:cs="Arial"/>
          <w:b/>
          <w:i/>
          <w:color w:val="00B050"/>
        </w:rPr>
      </w:pPr>
      <w:r w:rsidRPr="00A27BB4">
        <w:rPr>
          <w:rFonts w:cs="Arial"/>
          <w:b/>
          <w:i/>
          <w:color w:val="00B050"/>
        </w:rPr>
        <w:t xml:space="preserve">C09CA03  VALSARTAN </w:t>
      </w:r>
    </w:p>
    <w:p w:rsidR="00A27BB4" w:rsidRPr="00A27BB4" w:rsidRDefault="00A27BB4" w:rsidP="00396EBC">
      <w:pPr>
        <w:numPr>
          <w:ilvl w:val="0"/>
          <w:numId w:val="29"/>
        </w:numPr>
        <w:spacing w:after="0" w:line="240" w:lineRule="auto"/>
        <w:jc w:val="both"/>
        <w:rPr>
          <w:snapToGrid w:val="0"/>
        </w:rPr>
      </w:pPr>
      <w:r w:rsidRPr="00A27BB4">
        <w:rPr>
          <w:snapToGrid w:val="0"/>
        </w:rPr>
        <w:t xml:space="preserve">Pacientes con indicación de recibir </w:t>
      </w:r>
      <w:proofErr w:type="spellStart"/>
      <w:r w:rsidRPr="00A27BB4">
        <w:rPr>
          <w:snapToGrid w:val="0"/>
        </w:rPr>
        <w:t>enalapril</w:t>
      </w:r>
      <w:proofErr w:type="spellEnd"/>
      <w:r w:rsidRPr="00A27BB4">
        <w:rPr>
          <w:snapToGrid w:val="0"/>
        </w:rPr>
        <w:t xml:space="preserve"> portadores de ICC y que presenten tos persistente y otros problemas de seguridad con este fármaco (</w:t>
      </w:r>
      <w:proofErr w:type="spellStart"/>
      <w:r w:rsidRPr="00A27BB4">
        <w:rPr>
          <w:snapToGrid w:val="0"/>
        </w:rPr>
        <w:t>hiperpotasemia</w:t>
      </w:r>
      <w:proofErr w:type="spellEnd"/>
      <w:r w:rsidRPr="00A27BB4">
        <w:rPr>
          <w:snapToGrid w:val="0"/>
        </w:rPr>
        <w:t xml:space="preserve">, proteinuria, </w:t>
      </w:r>
      <w:proofErr w:type="spellStart"/>
      <w:r w:rsidRPr="00A27BB4">
        <w:rPr>
          <w:snapToGrid w:val="0"/>
        </w:rPr>
        <w:t>rash</w:t>
      </w:r>
      <w:proofErr w:type="spellEnd"/>
      <w:r w:rsidRPr="00A27BB4">
        <w:rPr>
          <w:snapToGrid w:val="0"/>
        </w:rPr>
        <w:t xml:space="preserve"> cutáneo, hipotensión excesiva entre otros efectos adversos posibles).</w:t>
      </w:r>
      <w:r w:rsidRPr="00A27BB4">
        <w:t xml:space="preserve"> Dosis: inicial 40-80mg/día en una sola toma para ICC y 80mg/día para hipertensión arterial; de mantenimiento 80-160 </w:t>
      </w:r>
      <w:r w:rsidRPr="00A27BB4">
        <w:rPr>
          <w:snapToGrid w:val="0"/>
        </w:rPr>
        <w:t>mg/día en una sola toma.</w:t>
      </w:r>
    </w:p>
    <w:p w:rsidR="00A27BB4" w:rsidRPr="00A27BB4" w:rsidRDefault="00A27BB4" w:rsidP="00A27BB4">
      <w:pPr>
        <w:ind w:left="1080"/>
        <w:jc w:val="both"/>
        <w:rPr>
          <w:b/>
          <w:i/>
          <w:snapToGrid w:val="0"/>
          <w:color w:val="00B050"/>
        </w:rPr>
      </w:pPr>
    </w:p>
    <w:p w:rsidR="00A27BB4" w:rsidRPr="00A27BB4" w:rsidRDefault="00A27BB4" w:rsidP="00A27BB4">
      <w:pPr>
        <w:tabs>
          <w:tab w:val="left" w:pos="1320"/>
        </w:tabs>
        <w:ind w:left="113"/>
        <w:rPr>
          <w:rFonts w:cs="Arial"/>
          <w:b/>
          <w:i/>
          <w:color w:val="00B050"/>
        </w:rPr>
      </w:pPr>
      <w:r w:rsidRPr="00A27BB4">
        <w:rPr>
          <w:rFonts w:cs="Arial"/>
          <w:b/>
          <w:i/>
          <w:color w:val="00B050"/>
        </w:rPr>
        <w:t xml:space="preserve">C09CA06  CANDESARTAN </w:t>
      </w:r>
    </w:p>
    <w:p w:rsidR="00A27BB4" w:rsidRPr="00A27BB4" w:rsidRDefault="00A27BB4" w:rsidP="00396EBC">
      <w:pPr>
        <w:numPr>
          <w:ilvl w:val="0"/>
          <w:numId w:val="29"/>
        </w:numPr>
        <w:spacing w:after="0" w:line="240" w:lineRule="auto"/>
        <w:jc w:val="both"/>
        <w:rPr>
          <w:snapToGrid w:val="0"/>
        </w:rPr>
      </w:pPr>
      <w:r w:rsidRPr="00A27BB4">
        <w:rPr>
          <w:snapToGrid w:val="0"/>
        </w:rPr>
        <w:t>Pacientes con indicación de recibir IECA y que presenten tos persistente y otros problemas de seguridad con este fármaco (</w:t>
      </w:r>
      <w:proofErr w:type="spellStart"/>
      <w:r w:rsidRPr="00A27BB4">
        <w:rPr>
          <w:snapToGrid w:val="0"/>
        </w:rPr>
        <w:t>hiperpotasemia</w:t>
      </w:r>
      <w:proofErr w:type="spellEnd"/>
      <w:r w:rsidRPr="00A27BB4">
        <w:rPr>
          <w:snapToGrid w:val="0"/>
        </w:rPr>
        <w:t xml:space="preserve">, proteinuria, </w:t>
      </w:r>
      <w:proofErr w:type="spellStart"/>
      <w:r w:rsidRPr="00A27BB4">
        <w:rPr>
          <w:snapToGrid w:val="0"/>
        </w:rPr>
        <w:t>rash</w:t>
      </w:r>
      <w:proofErr w:type="spellEnd"/>
      <w:r w:rsidRPr="00A27BB4">
        <w:rPr>
          <w:snapToGrid w:val="0"/>
        </w:rPr>
        <w:t xml:space="preserve"> cutáneo, hipotensión excesiva entre otros efectos adversos posibles).</w:t>
      </w:r>
      <w:r w:rsidRPr="00A27BB4">
        <w:t xml:space="preserve"> Dosis: inicial 8-16 mg/día en una o dos tomas; de mantenimiento 16-32 </w:t>
      </w:r>
      <w:r w:rsidRPr="00A27BB4">
        <w:rPr>
          <w:snapToGrid w:val="0"/>
        </w:rPr>
        <w:t>mg/día.</w:t>
      </w:r>
    </w:p>
    <w:p w:rsidR="00A27BB4" w:rsidRPr="00A27BB4" w:rsidRDefault="00A27BB4" w:rsidP="00396EBC">
      <w:pPr>
        <w:numPr>
          <w:ilvl w:val="0"/>
          <w:numId w:val="29"/>
        </w:numPr>
        <w:spacing w:after="0" w:line="240" w:lineRule="auto"/>
        <w:jc w:val="both"/>
        <w:rPr>
          <w:snapToGrid w:val="0"/>
        </w:rPr>
      </w:pPr>
      <w:r w:rsidRPr="00A27BB4">
        <w:rPr>
          <w:snapToGrid w:val="0"/>
        </w:rPr>
        <w:lastRenderedPageBreak/>
        <w:t>Tratamiento de la Insuficiencia Cardiaca Crónica, clases II-IV  Dosis inicial: 4 mg, una vez al día; duplicando la dosis diaria cada 2 semanas hasta 32mg/día según tolerancia.</w:t>
      </w:r>
    </w:p>
    <w:p w:rsidR="00C144EE" w:rsidRPr="00A27BB4" w:rsidRDefault="00C144EE" w:rsidP="00C144EE">
      <w:pPr>
        <w:tabs>
          <w:tab w:val="left" w:pos="1320"/>
        </w:tabs>
        <w:ind w:left="113"/>
        <w:rPr>
          <w:rFonts w:cs="Arial"/>
        </w:rPr>
      </w:pPr>
    </w:p>
    <w:p w:rsidR="00C144EE" w:rsidRPr="00766A30" w:rsidRDefault="00C144EE" w:rsidP="00C144EE">
      <w:pPr>
        <w:tabs>
          <w:tab w:val="left" w:pos="1320"/>
        </w:tabs>
        <w:ind w:left="113"/>
        <w:rPr>
          <w:rFonts w:cs="Arial"/>
          <w:b/>
          <w:bCs/>
          <w:i/>
          <w:color w:val="00B050"/>
        </w:rPr>
      </w:pPr>
      <w:r w:rsidRPr="00766A30">
        <w:rPr>
          <w:rFonts w:cs="Arial"/>
          <w:b/>
          <w:i/>
          <w:color w:val="00B050"/>
        </w:rPr>
        <w:t>C10</w:t>
      </w:r>
      <w:r w:rsidRPr="00766A30">
        <w:rPr>
          <w:rFonts w:cs="Arial"/>
          <w:b/>
          <w:i/>
          <w:color w:val="00B050"/>
        </w:rPr>
        <w:tab/>
      </w:r>
      <w:r w:rsidRPr="00766A30">
        <w:rPr>
          <w:rFonts w:cs="Arial"/>
          <w:b/>
          <w:bCs/>
          <w:i/>
          <w:color w:val="00B050"/>
        </w:rPr>
        <w:t>AGENTES HIPOLIPEMIANTES</w:t>
      </w:r>
    </w:p>
    <w:p w:rsidR="00C144EE" w:rsidRPr="00766A30" w:rsidRDefault="00C144EE" w:rsidP="00C144EE">
      <w:pPr>
        <w:tabs>
          <w:tab w:val="left" w:pos="1320"/>
        </w:tabs>
        <w:ind w:left="113"/>
        <w:jc w:val="both"/>
      </w:pPr>
    </w:p>
    <w:p w:rsidR="00C144EE" w:rsidRPr="00766A30" w:rsidRDefault="00C144EE" w:rsidP="00C144EE">
      <w:pPr>
        <w:tabs>
          <w:tab w:val="left" w:pos="1320"/>
        </w:tabs>
        <w:ind w:left="113"/>
        <w:jc w:val="both"/>
      </w:pPr>
      <w:r w:rsidRPr="00766A30">
        <w:t xml:space="preserve">La </w:t>
      </w:r>
      <w:proofErr w:type="spellStart"/>
      <w:r w:rsidRPr="00766A30">
        <w:t>dislipemia</w:t>
      </w:r>
      <w:proofErr w:type="spellEnd"/>
      <w:r w:rsidRPr="00766A30">
        <w:t xml:space="preserve"> implica cualquier alteración en los niveles normales de lípidos plasmáticos (fundamentalmente colesterol y triglicéridos). </w:t>
      </w:r>
    </w:p>
    <w:p w:rsidR="00C144EE" w:rsidRPr="00766A30" w:rsidRDefault="00C144EE" w:rsidP="00C144EE">
      <w:pPr>
        <w:tabs>
          <w:tab w:val="left" w:pos="1320"/>
        </w:tabs>
        <w:ind w:left="113"/>
        <w:jc w:val="both"/>
      </w:pPr>
      <w:r w:rsidRPr="00766A30">
        <w:t xml:space="preserve">La búsqueda activa de pacientes con hipercolesterolemia está justificada por su gran importancia como factor de riesgo cardiovascular (FRCV); la detección de </w:t>
      </w:r>
      <w:proofErr w:type="spellStart"/>
      <w:r w:rsidRPr="00766A30">
        <w:t>hipertrigliceridemia</w:t>
      </w:r>
      <w:proofErr w:type="spellEnd"/>
      <w:r w:rsidRPr="00766A30">
        <w:t xml:space="preserve"> cobra relevancia en determinados casos (asociada a hipercolesterolemia, diabetes, </w:t>
      </w:r>
      <w:proofErr w:type="spellStart"/>
      <w:r w:rsidRPr="00766A30">
        <w:t>hiperliproteinemia</w:t>
      </w:r>
      <w:proofErr w:type="spellEnd"/>
      <w:r w:rsidRPr="00766A30">
        <w:t xml:space="preserve"> familiar). </w:t>
      </w:r>
    </w:p>
    <w:p w:rsidR="00C144EE" w:rsidRPr="00766A30" w:rsidRDefault="00C144EE" w:rsidP="00C144EE">
      <w:pPr>
        <w:tabs>
          <w:tab w:val="left" w:pos="1320"/>
        </w:tabs>
        <w:ind w:left="113"/>
        <w:jc w:val="both"/>
      </w:pPr>
      <w:r w:rsidRPr="00766A30">
        <w:t xml:space="preserve">La evaluación para instituir un tratamiento farmacológico en la </w:t>
      </w:r>
      <w:proofErr w:type="spellStart"/>
      <w:r w:rsidRPr="00766A30">
        <w:t>dislipemia</w:t>
      </w:r>
      <w:proofErr w:type="spellEnd"/>
      <w:r w:rsidRPr="00766A30">
        <w:t>, debe incluir una estimación de los FRCV presentes en el paciente y no sólo la consideración de valores de colesterol LDL, HDL o total. (NCEP-ATP III).</w:t>
      </w:r>
    </w:p>
    <w:p w:rsidR="00C144EE" w:rsidRPr="00766A30" w:rsidRDefault="00C144EE" w:rsidP="00C144EE">
      <w:pPr>
        <w:tabs>
          <w:tab w:val="left" w:pos="1320"/>
        </w:tabs>
        <w:ind w:left="113"/>
        <w:jc w:val="both"/>
      </w:pPr>
      <w:r w:rsidRPr="00766A30">
        <w:t xml:space="preserve">La </w:t>
      </w:r>
      <w:r w:rsidRPr="00766A30">
        <w:rPr>
          <w:i/>
        </w:rPr>
        <w:t>valoración global del RCV</w:t>
      </w:r>
      <w:r w:rsidRPr="00766A30">
        <w:t xml:space="preserve"> prestará atención a los antecedentes familiares, tabaquismo, obesidad, </w:t>
      </w:r>
      <w:proofErr w:type="spellStart"/>
      <w:r w:rsidRPr="00766A30">
        <w:t>dislipemia</w:t>
      </w:r>
      <w:proofErr w:type="spellEnd"/>
      <w:r w:rsidRPr="00766A30">
        <w:t>, hipertensión arterial, diabetes y otras comorbilidades.</w:t>
      </w:r>
    </w:p>
    <w:p w:rsidR="00C144EE" w:rsidRPr="00766A30" w:rsidRDefault="00C144EE" w:rsidP="00C144EE">
      <w:pPr>
        <w:tabs>
          <w:tab w:val="left" w:pos="1320"/>
        </w:tabs>
        <w:ind w:left="113"/>
        <w:jc w:val="both"/>
      </w:pPr>
      <w:r w:rsidRPr="00766A30">
        <w:t>Los niveles deseables de colesterol LDL, según el RCV define las siguientes metas posibles:</w:t>
      </w:r>
    </w:p>
    <w:p w:rsidR="00C144EE" w:rsidRPr="00766A30" w:rsidRDefault="00C144EE" w:rsidP="00C144EE">
      <w:pPr>
        <w:tabs>
          <w:tab w:val="left" w:pos="1320"/>
        </w:tabs>
        <w:ind w:left="113"/>
        <w:jc w:val="both"/>
      </w:pPr>
      <w:r w:rsidRPr="00766A30">
        <w:t xml:space="preserve"> I) </w:t>
      </w:r>
      <w:r w:rsidRPr="00766A30">
        <w:rPr>
          <w:i/>
          <w:u w:val="single"/>
        </w:rPr>
        <w:t>prevención primaria:</w:t>
      </w:r>
      <w:r w:rsidRPr="00766A30">
        <w:t xml:space="preserve"> </w:t>
      </w:r>
    </w:p>
    <w:p w:rsidR="00C144EE" w:rsidRPr="00766A30" w:rsidRDefault="00C144EE" w:rsidP="00C144EE">
      <w:pPr>
        <w:tabs>
          <w:tab w:val="left" w:pos="1320"/>
        </w:tabs>
        <w:ind w:left="113"/>
        <w:jc w:val="both"/>
      </w:pPr>
      <w:r w:rsidRPr="00766A30">
        <w:t xml:space="preserve">              a. </w:t>
      </w:r>
      <w:r w:rsidRPr="00766A30">
        <w:rPr>
          <w:u w:val="single"/>
        </w:rPr>
        <w:t>con 1 o ningún FRCV</w:t>
      </w:r>
      <w:r w:rsidRPr="00766A30">
        <w:t xml:space="preserve"> (riesgo menor al 5%): menor a 160 mg/dl; recientes revisiones – ver luego - muestran falta de beneficios para este objetivo en pacientes con bajo riesgo CV.</w:t>
      </w:r>
    </w:p>
    <w:p w:rsidR="00C144EE" w:rsidRPr="00766A30" w:rsidRDefault="00C144EE" w:rsidP="00C144EE">
      <w:pPr>
        <w:tabs>
          <w:tab w:val="left" w:pos="1320"/>
        </w:tabs>
        <w:ind w:left="113"/>
        <w:jc w:val="both"/>
      </w:pPr>
      <w:r w:rsidRPr="00766A30">
        <w:t xml:space="preserve">              b. </w:t>
      </w:r>
      <w:r w:rsidRPr="00766A30">
        <w:rPr>
          <w:u w:val="single"/>
        </w:rPr>
        <w:t>con 2 o más FRCV</w:t>
      </w:r>
      <w:r w:rsidRPr="00766A30">
        <w:t xml:space="preserve"> (riesgo menor al 20%): menor a 130 mg/dl; la diabetes impone las medidas de la prevención secundaria; </w:t>
      </w:r>
    </w:p>
    <w:p w:rsidR="00C144EE" w:rsidRPr="00766A30" w:rsidRDefault="00C144EE" w:rsidP="00C144EE">
      <w:pPr>
        <w:tabs>
          <w:tab w:val="left" w:pos="1320"/>
        </w:tabs>
        <w:ind w:left="113"/>
        <w:jc w:val="both"/>
      </w:pPr>
    </w:p>
    <w:p w:rsidR="00C144EE" w:rsidRPr="00766A30" w:rsidRDefault="00C144EE" w:rsidP="00C144EE">
      <w:pPr>
        <w:tabs>
          <w:tab w:val="left" w:pos="1320"/>
        </w:tabs>
        <w:ind w:left="113"/>
        <w:jc w:val="both"/>
      </w:pPr>
      <w:r w:rsidRPr="00766A30">
        <w:t xml:space="preserve">II) </w:t>
      </w:r>
      <w:r w:rsidRPr="00766A30">
        <w:rPr>
          <w:u w:val="single"/>
        </w:rPr>
        <w:t>prevención secundaria</w:t>
      </w:r>
      <w:r w:rsidRPr="00766A30">
        <w:t xml:space="preserve">: si el paciente presenta cardiopatía </w:t>
      </w:r>
      <w:proofErr w:type="spellStart"/>
      <w:r w:rsidRPr="00766A30">
        <w:t>isquemica</w:t>
      </w:r>
      <w:proofErr w:type="spellEnd"/>
      <w:r w:rsidRPr="00766A30">
        <w:t xml:space="preserve"> o eventos clínicos de enfermedad </w:t>
      </w:r>
      <w:proofErr w:type="spellStart"/>
      <w:r w:rsidRPr="00766A30">
        <w:t>aterosclerotica</w:t>
      </w:r>
      <w:proofErr w:type="spellEnd"/>
      <w:r w:rsidRPr="00766A30">
        <w:t xml:space="preserve"> (riesgo mayor al 20%): menor a 100 mg/dl. </w:t>
      </w:r>
    </w:p>
    <w:p w:rsidR="00C144EE" w:rsidRPr="00766A30" w:rsidRDefault="00C144EE" w:rsidP="00C144EE">
      <w:pPr>
        <w:tabs>
          <w:tab w:val="left" w:pos="1320"/>
        </w:tabs>
        <w:ind w:left="113"/>
        <w:jc w:val="both"/>
        <w:rPr>
          <w:lang w:val="es-AR"/>
        </w:rPr>
      </w:pPr>
      <w:r w:rsidRPr="00766A30">
        <w:t>El HPS (</w:t>
      </w:r>
      <w:proofErr w:type="spellStart"/>
      <w:r w:rsidRPr="00766A30">
        <w:t>Heart</w:t>
      </w:r>
      <w:proofErr w:type="spellEnd"/>
      <w:r w:rsidRPr="00766A30">
        <w:t xml:space="preserve"> Protección </w:t>
      </w:r>
      <w:proofErr w:type="spellStart"/>
      <w:r w:rsidRPr="00766A30">
        <w:t>Study</w:t>
      </w:r>
      <w:proofErr w:type="spellEnd"/>
      <w:r w:rsidRPr="00766A30">
        <w:t xml:space="preserve">) que incluyó 20.536 pacientes de alto riesgo con enfermedad coronaria, diabetes, y otras enfermedades arteriales </w:t>
      </w:r>
      <w:r w:rsidRPr="00766A30">
        <w:rPr>
          <w:lang w:val="es-AR"/>
        </w:rPr>
        <w:t xml:space="preserve">fundamenta el tratamiento con </w:t>
      </w:r>
      <w:proofErr w:type="spellStart"/>
      <w:r w:rsidRPr="00766A30">
        <w:rPr>
          <w:lang w:val="es-AR"/>
        </w:rPr>
        <w:t>estatinas</w:t>
      </w:r>
      <w:proofErr w:type="spellEnd"/>
      <w:r w:rsidRPr="00766A30">
        <w:rPr>
          <w:lang w:val="es-AR"/>
        </w:rPr>
        <w:t xml:space="preserve"> (</w:t>
      </w:r>
      <w:proofErr w:type="spellStart"/>
      <w:r w:rsidRPr="00766A30">
        <w:rPr>
          <w:lang w:val="es-AR"/>
        </w:rPr>
        <w:t>simvastatin</w:t>
      </w:r>
      <w:proofErr w:type="spellEnd"/>
      <w:r w:rsidRPr="00766A30">
        <w:rPr>
          <w:lang w:val="es-AR"/>
        </w:rPr>
        <w:t xml:space="preserve">) para pacientes de alto riesgo destinado a la prevención secundaria, y presenta evidencia inobjetable de que </w:t>
      </w:r>
      <w:r w:rsidRPr="00766A30">
        <w:rPr>
          <w:i/>
          <w:lang w:val="es-AR"/>
        </w:rPr>
        <w:t>los beneficios fueron independientes del nivel inicial de colesterol y la magnitud</w:t>
      </w:r>
      <w:r w:rsidRPr="00766A30">
        <w:rPr>
          <w:lang w:val="es-AR"/>
        </w:rPr>
        <w:t xml:space="preserve"> de la disminución lograda.</w:t>
      </w:r>
    </w:p>
    <w:p w:rsidR="00C144EE" w:rsidRPr="00766A30" w:rsidRDefault="00C144EE" w:rsidP="00C144EE">
      <w:pPr>
        <w:tabs>
          <w:tab w:val="left" w:pos="1320"/>
        </w:tabs>
        <w:ind w:left="113"/>
        <w:jc w:val="both"/>
        <w:rPr>
          <w:lang w:val="es-AR"/>
        </w:rPr>
      </w:pPr>
    </w:p>
    <w:p w:rsidR="00C144EE" w:rsidRPr="00766A30" w:rsidRDefault="00C144EE" w:rsidP="00C144EE">
      <w:pPr>
        <w:tabs>
          <w:tab w:val="left" w:pos="1320"/>
        </w:tabs>
        <w:ind w:left="113"/>
        <w:jc w:val="both"/>
        <w:rPr>
          <w:lang w:val="es-MX"/>
        </w:rPr>
      </w:pPr>
      <w:r w:rsidRPr="00766A30">
        <w:rPr>
          <w:lang w:val="es-AR"/>
        </w:rPr>
        <w:t xml:space="preserve">En </w:t>
      </w:r>
      <w:r w:rsidRPr="00766A30">
        <w:rPr>
          <w:i/>
          <w:lang w:val="es-AR"/>
        </w:rPr>
        <w:t xml:space="preserve">prevención secundaria </w:t>
      </w:r>
      <w:r w:rsidRPr="00766A30">
        <w:rPr>
          <w:i/>
          <w:lang w:val="es-MX"/>
        </w:rPr>
        <w:t xml:space="preserve">el tratamiento con </w:t>
      </w:r>
      <w:proofErr w:type="spellStart"/>
      <w:r w:rsidRPr="00766A30">
        <w:rPr>
          <w:i/>
          <w:lang w:val="es-MX"/>
        </w:rPr>
        <w:t>estatinas</w:t>
      </w:r>
      <w:proofErr w:type="spellEnd"/>
      <w:r w:rsidRPr="00766A30">
        <w:rPr>
          <w:i/>
          <w:lang w:val="es-MX"/>
        </w:rPr>
        <w:t xml:space="preserve"> disminuye el riesgo</w:t>
      </w:r>
      <w:r w:rsidRPr="00766A30">
        <w:rPr>
          <w:lang w:val="es-MX"/>
        </w:rPr>
        <w:t xml:space="preserve"> de IAM o ACV no fatal, la mortalidad cardiaca y vascular; la medición del impacto sanitario global, también mostró beneficios al disminuir el riesgo absoluto de mortalidad por todas las causas del 2.1 % y el riesgo relativo en un 26%. </w:t>
      </w:r>
    </w:p>
    <w:p w:rsidR="00C144EE" w:rsidRPr="00766A30" w:rsidRDefault="00C144EE" w:rsidP="00C144EE">
      <w:pPr>
        <w:tabs>
          <w:tab w:val="left" w:pos="1320"/>
        </w:tabs>
        <w:ind w:left="113"/>
        <w:jc w:val="both"/>
        <w:rPr>
          <w:lang w:val="es-MX"/>
        </w:rPr>
      </w:pPr>
    </w:p>
    <w:p w:rsidR="00C144EE" w:rsidRPr="00766A30" w:rsidRDefault="00C144EE" w:rsidP="00C144EE">
      <w:pPr>
        <w:tabs>
          <w:tab w:val="left" w:pos="1320"/>
        </w:tabs>
        <w:ind w:left="113"/>
        <w:jc w:val="both"/>
        <w:rPr>
          <w:lang w:val="es-MX"/>
        </w:rPr>
      </w:pPr>
      <w:r w:rsidRPr="00766A30">
        <w:rPr>
          <w:lang w:val="es-MX"/>
        </w:rPr>
        <w:t xml:space="preserve">La evidencia científica relacionada con la prevención primaria – 65.000 pacientes en distintos ECC sin enfermedad vascular establecida - ha mostrado resultados dispares; los resultados </w:t>
      </w:r>
      <w:r w:rsidRPr="00766A30">
        <w:rPr>
          <w:lang w:val="es-MX"/>
        </w:rPr>
        <w:lastRenderedPageBreak/>
        <w:t xml:space="preserve">confirman la presencia de beneficios muy modestos, ya que el tratamiento con </w:t>
      </w:r>
      <w:proofErr w:type="spellStart"/>
      <w:r w:rsidRPr="00766A30">
        <w:rPr>
          <w:lang w:val="es-MX"/>
        </w:rPr>
        <w:t>estatinas</w:t>
      </w:r>
      <w:proofErr w:type="spellEnd"/>
      <w:r w:rsidRPr="00766A30">
        <w:rPr>
          <w:lang w:val="es-MX"/>
        </w:rPr>
        <w:t xml:space="preserve"> sólo disminuye el riesgo absoluto de IAM o ACV fatal  y no fatal en un 1.4%, y el riesgo relativo en un 26%. Además no han demostrado beneficios con impacto sanitario global (mortalidad por todas las causas o los eventos cardiovasculares graves).</w:t>
      </w:r>
    </w:p>
    <w:p w:rsidR="00C144EE" w:rsidRPr="00766A30" w:rsidRDefault="00C144EE" w:rsidP="00C144EE">
      <w:pPr>
        <w:tabs>
          <w:tab w:val="left" w:pos="1320"/>
        </w:tabs>
        <w:ind w:left="113"/>
        <w:jc w:val="both"/>
        <w:rPr>
          <w:lang w:val="es-MX"/>
        </w:rPr>
      </w:pPr>
    </w:p>
    <w:p w:rsidR="00C144EE" w:rsidRPr="00766A30" w:rsidRDefault="00C144EE" w:rsidP="00C144EE">
      <w:pPr>
        <w:tabs>
          <w:tab w:val="left" w:pos="1320"/>
        </w:tabs>
        <w:ind w:left="113"/>
        <w:jc w:val="both"/>
      </w:pPr>
      <w:r w:rsidRPr="00766A30">
        <w:rPr>
          <w:lang w:val="es-MX"/>
        </w:rPr>
        <w:t xml:space="preserve">En un reciente </w:t>
      </w:r>
      <w:proofErr w:type="spellStart"/>
      <w:r w:rsidRPr="00766A30">
        <w:rPr>
          <w:lang w:val="es-MX"/>
        </w:rPr>
        <w:t>metanálisis</w:t>
      </w:r>
      <w:proofErr w:type="spellEnd"/>
      <w:r w:rsidRPr="00766A30">
        <w:rPr>
          <w:lang w:val="es-MX"/>
        </w:rPr>
        <w:t xml:space="preserve"> de los principales ensayos clínicos – 35.000 pacientes – Cochrane </w:t>
      </w:r>
      <w:proofErr w:type="spellStart"/>
      <w:r w:rsidRPr="00766A30">
        <w:rPr>
          <w:lang w:val="es-MX"/>
        </w:rPr>
        <w:t>Collaboration</w:t>
      </w:r>
      <w:proofErr w:type="spellEnd"/>
      <w:r w:rsidRPr="00766A30">
        <w:rPr>
          <w:lang w:val="es-MX"/>
        </w:rPr>
        <w:t xml:space="preserve"> – recomienda desaconsejar el uso de </w:t>
      </w:r>
      <w:proofErr w:type="spellStart"/>
      <w:r w:rsidRPr="00766A30">
        <w:rPr>
          <w:lang w:val="es-MX"/>
        </w:rPr>
        <w:t>estatinas</w:t>
      </w:r>
      <w:proofErr w:type="spellEnd"/>
      <w:r w:rsidRPr="00766A30">
        <w:rPr>
          <w:lang w:val="es-MX"/>
        </w:rPr>
        <w:t xml:space="preserve"> en prevención primaria de pacientes con bajo RCV - riesgo cardiovascular - considerando l</w:t>
      </w:r>
      <w:r w:rsidRPr="00766A30">
        <w:t xml:space="preserve">a falta de repercusión sobre la mortalidad y su relación costo-efectividad desfavorable. </w:t>
      </w:r>
    </w:p>
    <w:p w:rsidR="00C144EE" w:rsidRPr="00766A30" w:rsidRDefault="00C144EE" w:rsidP="00C144EE">
      <w:pPr>
        <w:tabs>
          <w:tab w:val="left" w:pos="1320"/>
        </w:tabs>
        <w:ind w:left="113"/>
        <w:jc w:val="both"/>
      </w:pPr>
      <w:r w:rsidRPr="00766A30">
        <w:t xml:space="preserve">No debemos  olvidar, además, los efectos secundarios de estos fármacos, que pueden impactar seriamente sobre personas sanas. </w:t>
      </w:r>
    </w:p>
    <w:p w:rsidR="00C144EE" w:rsidRPr="00766A30" w:rsidRDefault="00C144EE" w:rsidP="00C144EE">
      <w:pPr>
        <w:tabs>
          <w:tab w:val="left" w:pos="1320"/>
        </w:tabs>
        <w:ind w:left="113"/>
        <w:jc w:val="both"/>
      </w:pPr>
      <w:r w:rsidRPr="00766A30">
        <w:t xml:space="preserve">El estudio PROSPER demostró beneficios en personas mayores de 70 años exclusivamente en prevención secundaria, por lo que su inicio en este grupo </w:t>
      </w:r>
      <w:proofErr w:type="spellStart"/>
      <w:r w:rsidRPr="00766A30">
        <w:t>etáreo</w:t>
      </w:r>
      <w:proofErr w:type="spellEnd"/>
      <w:r w:rsidRPr="00766A30">
        <w:t xml:space="preserve"> con el objetivo de prevención primaria no cuenta con evidencia </w:t>
      </w:r>
      <w:proofErr w:type="spellStart"/>
      <w:r w:rsidRPr="00766A30">
        <w:t>respaldatoria</w:t>
      </w:r>
      <w:proofErr w:type="spellEnd"/>
      <w:r w:rsidRPr="00766A30">
        <w:t xml:space="preserve">. </w:t>
      </w:r>
    </w:p>
    <w:p w:rsidR="00C144EE" w:rsidRPr="00766A30" w:rsidRDefault="00C144EE" w:rsidP="00C144EE">
      <w:pPr>
        <w:tabs>
          <w:tab w:val="left" w:pos="1320"/>
        </w:tabs>
        <w:ind w:left="113"/>
        <w:jc w:val="both"/>
      </w:pPr>
    </w:p>
    <w:p w:rsidR="00C144EE" w:rsidRPr="00766A30" w:rsidRDefault="00C144EE" w:rsidP="00C144EE">
      <w:pPr>
        <w:tabs>
          <w:tab w:val="left" w:pos="1320"/>
        </w:tabs>
        <w:ind w:left="113"/>
        <w:jc w:val="both"/>
        <w:rPr>
          <w:lang w:val="es-MX"/>
        </w:rPr>
      </w:pPr>
      <w:r w:rsidRPr="00766A30">
        <w:rPr>
          <w:rFonts w:cs="HelveticaNeueLTStd-Lt"/>
        </w:rPr>
        <w:t xml:space="preserve">Las mujeres están poco representadas en los ensayos clínicos con </w:t>
      </w:r>
      <w:proofErr w:type="spellStart"/>
      <w:r w:rsidRPr="00766A30">
        <w:rPr>
          <w:rFonts w:cs="HelveticaNeueLTStd-Lt"/>
        </w:rPr>
        <w:t>estatinas</w:t>
      </w:r>
      <w:proofErr w:type="spellEnd"/>
      <w:r w:rsidRPr="00766A30">
        <w:rPr>
          <w:rFonts w:cs="HelveticaNeueLTStd-Lt"/>
        </w:rPr>
        <w:t xml:space="preserve">. Analizando los subgrupos de mujeres incluidas, se puede afirmar que las evidencias no apoyan el uso de </w:t>
      </w:r>
      <w:proofErr w:type="spellStart"/>
      <w:r w:rsidRPr="00766A30">
        <w:rPr>
          <w:rFonts w:cs="HelveticaNeueLTStd-Lt"/>
        </w:rPr>
        <w:t>estatinas</w:t>
      </w:r>
      <w:proofErr w:type="spellEnd"/>
      <w:r w:rsidRPr="00766A30">
        <w:rPr>
          <w:rFonts w:cs="HelveticaNeueLTStd-Lt"/>
        </w:rPr>
        <w:t xml:space="preserve"> en mujeres sin ECV, probablemente debido a su bajo riesgo coronario basal, por lo que aquellas con un RCV menor al 10%, no cuentan con evidencia para el inicio de tratamiento. </w:t>
      </w:r>
    </w:p>
    <w:p w:rsidR="00C144EE" w:rsidRPr="00766A30" w:rsidRDefault="00C144EE" w:rsidP="00C144EE">
      <w:pPr>
        <w:tabs>
          <w:tab w:val="left" w:pos="1320"/>
        </w:tabs>
        <w:ind w:left="113"/>
        <w:jc w:val="both"/>
        <w:rPr>
          <w:lang w:val="es-MX"/>
        </w:rPr>
      </w:pPr>
    </w:p>
    <w:p w:rsidR="00C144EE" w:rsidRPr="00766A30" w:rsidRDefault="00C144EE" w:rsidP="00C144EE">
      <w:pPr>
        <w:tabs>
          <w:tab w:val="left" w:pos="1320"/>
        </w:tabs>
        <w:ind w:left="113"/>
        <w:jc w:val="both"/>
        <w:rPr>
          <w:lang w:val="es-MX"/>
        </w:rPr>
      </w:pPr>
      <w:r w:rsidRPr="00766A30">
        <w:rPr>
          <w:lang w:val="es-MX"/>
        </w:rPr>
        <w:t xml:space="preserve">Las recomendaciones para </w:t>
      </w:r>
      <w:r w:rsidRPr="00766A30">
        <w:rPr>
          <w:i/>
          <w:lang w:val="es-MX"/>
        </w:rPr>
        <w:t>pacientes de bajo riesgo CV</w:t>
      </w:r>
      <w:r w:rsidRPr="00766A30">
        <w:rPr>
          <w:lang w:val="es-MX"/>
        </w:rPr>
        <w:t xml:space="preserve"> (la mayoría de los casos) </w:t>
      </w:r>
      <w:r w:rsidRPr="00766A30">
        <w:rPr>
          <w:i/>
          <w:lang w:val="es-MX"/>
        </w:rPr>
        <w:t>no han variado</w:t>
      </w:r>
      <w:r w:rsidRPr="00766A30">
        <w:rPr>
          <w:lang w:val="es-MX"/>
        </w:rPr>
        <w:t xml:space="preserve">, por lo que el punto de corte </w:t>
      </w:r>
      <w:r w:rsidRPr="00766A30">
        <w:rPr>
          <w:i/>
          <w:lang w:val="es-MX"/>
        </w:rPr>
        <w:t xml:space="preserve">para instituir tratamiento farmacológico </w:t>
      </w:r>
      <w:r w:rsidRPr="00766A30">
        <w:rPr>
          <w:lang w:val="es-MX"/>
        </w:rPr>
        <w:t>sigue siendo un colesterol LDL de 190 mg/dl o mayor y la meta es un colesterol LDL menor a 160 mg/dl.</w:t>
      </w:r>
    </w:p>
    <w:p w:rsidR="00C144EE" w:rsidRPr="00766A30" w:rsidRDefault="00C144EE" w:rsidP="00C144EE">
      <w:pPr>
        <w:tabs>
          <w:tab w:val="left" w:pos="1320"/>
        </w:tabs>
        <w:ind w:left="113"/>
        <w:jc w:val="both"/>
        <w:rPr>
          <w:rFonts w:cs="Arial"/>
          <w:lang w:val="es-MX"/>
        </w:rPr>
      </w:pPr>
    </w:p>
    <w:p w:rsidR="00C144EE" w:rsidRPr="00766A30" w:rsidRDefault="00C144EE" w:rsidP="00C144EE">
      <w:pPr>
        <w:tabs>
          <w:tab w:val="left" w:pos="1320"/>
        </w:tabs>
        <w:ind w:left="113"/>
        <w:jc w:val="both"/>
        <w:rPr>
          <w:rFonts w:cs="Arial"/>
          <w:lang w:val="es-MX"/>
        </w:rPr>
      </w:pPr>
      <w:r w:rsidRPr="00766A30">
        <w:rPr>
          <w:rFonts w:cs="Arial"/>
          <w:lang w:val="es-MX"/>
        </w:rPr>
        <w:t xml:space="preserve">La </w:t>
      </w:r>
      <w:r w:rsidRPr="00766A30">
        <w:rPr>
          <w:rFonts w:cs="Arial"/>
          <w:i/>
          <w:lang w:val="es-MX"/>
        </w:rPr>
        <w:t xml:space="preserve">institución de medidas no farmacológicas modificadoras del estilo de vida resulta obligada </w:t>
      </w:r>
      <w:r w:rsidRPr="00766A30">
        <w:rPr>
          <w:rFonts w:cs="Arial"/>
          <w:lang w:val="es-MX"/>
        </w:rPr>
        <w:t>y su modalidad estará determinada por la presencia de los distintos FRCV presentes.</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rPr>
      </w:pPr>
      <w:r w:rsidRPr="00766A30">
        <w:rPr>
          <w:rFonts w:cs="Arial"/>
          <w:b/>
          <w:i/>
          <w:color w:val="00B050"/>
        </w:rPr>
        <w:t>C10A</w:t>
      </w:r>
      <w:r w:rsidRPr="00766A30">
        <w:rPr>
          <w:rFonts w:cs="Arial"/>
          <w:b/>
          <w:i/>
          <w:color w:val="00B050"/>
        </w:rPr>
        <w:tab/>
        <w:t>REDUCTORES DEL COLESTEROL Y TRIGLICERIDOS</w:t>
      </w:r>
    </w:p>
    <w:p w:rsidR="00C144EE" w:rsidRPr="00766A30" w:rsidRDefault="00C144EE" w:rsidP="00C144EE">
      <w:pPr>
        <w:tabs>
          <w:tab w:val="left" w:pos="1320"/>
        </w:tabs>
        <w:ind w:left="113"/>
        <w:rPr>
          <w:rFonts w:cs="Arial"/>
          <w:b/>
          <w:i/>
          <w:color w:val="00B050"/>
        </w:rPr>
      </w:pPr>
      <w:r w:rsidRPr="00766A30">
        <w:rPr>
          <w:rFonts w:cs="Arial"/>
          <w:b/>
          <w:i/>
          <w:color w:val="00B050"/>
        </w:rPr>
        <w:t>C10AA</w:t>
      </w:r>
      <w:r w:rsidRPr="00766A30">
        <w:rPr>
          <w:rFonts w:cs="Arial"/>
          <w:b/>
          <w:i/>
          <w:color w:val="00B050"/>
        </w:rPr>
        <w:tab/>
        <w:t>INHIBIDORES HMG COA REDUCTASA</w:t>
      </w:r>
    </w:p>
    <w:p w:rsidR="00C144EE" w:rsidRPr="00766A30" w:rsidRDefault="00C144EE" w:rsidP="00C144EE">
      <w:pPr>
        <w:tabs>
          <w:tab w:val="left" w:pos="1320"/>
        </w:tabs>
        <w:ind w:left="113"/>
        <w:jc w:val="both"/>
        <w:rPr>
          <w:rFonts w:cs="Arial"/>
        </w:rPr>
      </w:pPr>
    </w:p>
    <w:p w:rsidR="00C144EE" w:rsidRPr="00766A30" w:rsidRDefault="00C144EE" w:rsidP="00C144EE">
      <w:pPr>
        <w:tabs>
          <w:tab w:val="left" w:pos="1320"/>
        </w:tabs>
        <w:ind w:left="113"/>
        <w:jc w:val="both"/>
        <w:rPr>
          <w:rFonts w:cs="Arial"/>
        </w:rPr>
      </w:pPr>
      <w:r w:rsidRPr="00766A30">
        <w:rPr>
          <w:rFonts w:cs="Arial"/>
        </w:rPr>
        <w:t xml:space="preserve">EL denominado </w:t>
      </w:r>
      <w:proofErr w:type="spellStart"/>
      <w:r w:rsidRPr="00766A30">
        <w:rPr>
          <w:rFonts w:cs="Arial"/>
        </w:rPr>
        <w:t>Third</w:t>
      </w:r>
      <w:proofErr w:type="spellEnd"/>
      <w:r w:rsidRPr="00766A30">
        <w:rPr>
          <w:rFonts w:cs="Arial"/>
        </w:rPr>
        <w:t xml:space="preserve"> </w:t>
      </w:r>
      <w:proofErr w:type="spellStart"/>
      <w:r w:rsidRPr="00766A30">
        <w:rPr>
          <w:rFonts w:cs="Arial"/>
        </w:rPr>
        <w:t>Report</w:t>
      </w:r>
      <w:proofErr w:type="spellEnd"/>
      <w:r w:rsidRPr="00766A30">
        <w:rPr>
          <w:rFonts w:cs="Arial"/>
        </w:rPr>
        <w:t xml:space="preserve"> of </w:t>
      </w:r>
      <w:proofErr w:type="spellStart"/>
      <w:r w:rsidRPr="00766A30">
        <w:rPr>
          <w:rFonts w:cs="Arial"/>
        </w:rPr>
        <w:t>the</w:t>
      </w:r>
      <w:proofErr w:type="spellEnd"/>
      <w:r w:rsidRPr="00766A30">
        <w:rPr>
          <w:rFonts w:cs="Arial"/>
        </w:rPr>
        <w:t xml:space="preserve"> </w:t>
      </w:r>
      <w:proofErr w:type="spellStart"/>
      <w:r w:rsidRPr="00766A30">
        <w:rPr>
          <w:rFonts w:cs="Arial"/>
        </w:rPr>
        <w:t>National</w:t>
      </w:r>
      <w:proofErr w:type="spellEnd"/>
      <w:r w:rsidRPr="00766A30">
        <w:rPr>
          <w:rFonts w:cs="Arial"/>
        </w:rPr>
        <w:t xml:space="preserve"> </w:t>
      </w:r>
      <w:proofErr w:type="spellStart"/>
      <w:r w:rsidRPr="00766A30">
        <w:rPr>
          <w:rFonts w:cs="Arial"/>
        </w:rPr>
        <w:t>Cholesterol</w:t>
      </w:r>
      <w:proofErr w:type="spellEnd"/>
      <w:r w:rsidRPr="00766A30">
        <w:rPr>
          <w:rFonts w:cs="Arial"/>
        </w:rPr>
        <w:t xml:space="preserve"> </w:t>
      </w:r>
      <w:proofErr w:type="spellStart"/>
      <w:r w:rsidRPr="00766A30">
        <w:rPr>
          <w:rFonts w:cs="Arial"/>
        </w:rPr>
        <w:t>Education</w:t>
      </w:r>
      <w:proofErr w:type="spellEnd"/>
      <w:r w:rsidRPr="00766A30">
        <w:rPr>
          <w:rFonts w:cs="Arial"/>
        </w:rPr>
        <w:t xml:space="preserve"> </w:t>
      </w:r>
      <w:proofErr w:type="spellStart"/>
      <w:r w:rsidRPr="00766A30">
        <w:rPr>
          <w:rFonts w:cs="Arial"/>
        </w:rPr>
        <w:t>Program</w:t>
      </w:r>
      <w:proofErr w:type="spellEnd"/>
      <w:r w:rsidRPr="00766A30">
        <w:rPr>
          <w:rFonts w:cs="Arial"/>
        </w:rPr>
        <w:t xml:space="preserve"> (NCEP), </w:t>
      </w:r>
      <w:proofErr w:type="spellStart"/>
      <w:r w:rsidRPr="00766A30">
        <w:rPr>
          <w:rFonts w:cs="Arial"/>
        </w:rPr>
        <w:t>Expert</w:t>
      </w:r>
      <w:proofErr w:type="spellEnd"/>
      <w:r w:rsidRPr="00766A30">
        <w:rPr>
          <w:rFonts w:cs="Arial"/>
        </w:rPr>
        <w:t xml:space="preserve"> Panel </w:t>
      </w:r>
      <w:proofErr w:type="spellStart"/>
      <w:r w:rsidRPr="00766A30">
        <w:rPr>
          <w:rFonts w:cs="Arial"/>
        </w:rPr>
        <w:t>on</w:t>
      </w:r>
      <w:proofErr w:type="spellEnd"/>
      <w:r w:rsidRPr="00766A30">
        <w:rPr>
          <w:rFonts w:cs="Arial"/>
        </w:rPr>
        <w:t xml:space="preserve"> </w:t>
      </w:r>
      <w:proofErr w:type="spellStart"/>
      <w:r w:rsidRPr="00766A30">
        <w:rPr>
          <w:rFonts w:cs="Arial"/>
        </w:rPr>
        <w:t>Detection</w:t>
      </w:r>
      <w:proofErr w:type="spellEnd"/>
      <w:r w:rsidRPr="00766A30">
        <w:rPr>
          <w:rFonts w:cs="Arial"/>
        </w:rPr>
        <w:t xml:space="preserve">, </w:t>
      </w:r>
      <w:proofErr w:type="spellStart"/>
      <w:r w:rsidRPr="00766A30">
        <w:rPr>
          <w:rFonts w:cs="Arial"/>
        </w:rPr>
        <w:t>Evaluation</w:t>
      </w:r>
      <w:proofErr w:type="spellEnd"/>
      <w:r w:rsidRPr="00766A30">
        <w:rPr>
          <w:rFonts w:cs="Arial"/>
        </w:rPr>
        <w:t xml:space="preserve">, and </w:t>
      </w:r>
      <w:proofErr w:type="spellStart"/>
      <w:r w:rsidRPr="00766A30">
        <w:rPr>
          <w:rFonts w:cs="Arial"/>
        </w:rPr>
        <w:t>Treatment</w:t>
      </w:r>
      <w:proofErr w:type="spellEnd"/>
      <w:r w:rsidRPr="00766A30">
        <w:rPr>
          <w:rFonts w:cs="Arial"/>
        </w:rPr>
        <w:t xml:space="preserve"> of High </w:t>
      </w:r>
      <w:proofErr w:type="spellStart"/>
      <w:r w:rsidRPr="00766A30">
        <w:rPr>
          <w:rFonts w:cs="Arial"/>
        </w:rPr>
        <w:t>Blood</w:t>
      </w:r>
      <w:proofErr w:type="spellEnd"/>
      <w:r w:rsidRPr="00766A30">
        <w:rPr>
          <w:rFonts w:cs="Arial"/>
        </w:rPr>
        <w:t xml:space="preserve"> </w:t>
      </w:r>
      <w:proofErr w:type="spellStart"/>
      <w:r w:rsidRPr="00766A30">
        <w:rPr>
          <w:rFonts w:cs="Arial"/>
        </w:rPr>
        <w:t>Cholesterol</w:t>
      </w:r>
      <w:proofErr w:type="spellEnd"/>
      <w:r w:rsidRPr="00766A30">
        <w:rPr>
          <w:rFonts w:cs="Arial"/>
        </w:rPr>
        <w:t xml:space="preserve"> in </w:t>
      </w:r>
      <w:proofErr w:type="spellStart"/>
      <w:r w:rsidRPr="00766A30">
        <w:rPr>
          <w:rFonts w:cs="Arial"/>
        </w:rPr>
        <w:t>Adults</w:t>
      </w:r>
      <w:proofErr w:type="spellEnd"/>
      <w:r w:rsidRPr="00766A30">
        <w:rPr>
          <w:rFonts w:cs="Arial"/>
        </w:rPr>
        <w:t xml:space="preserve"> (</w:t>
      </w:r>
      <w:proofErr w:type="spellStart"/>
      <w:r w:rsidRPr="00766A30">
        <w:rPr>
          <w:rFonts w:cs="Arial"/>
        </w:rPr>
        <w:t>Adult</w:t>
      </w:r>
      <w:proofErr w:type="spellEnd"/>
      <w:r w:rsidRPr="00766A30">
        <w:rPr>
          <w:rFonts w:cs="Arial"/>
        </w:rPr>
        <w:t xml:space="preserve"> </w:t>
      </w:r>
      <w:proofErr w:type="spellStart"/>
      <w:r w:rsidRPr="00766A30">
        <w:rPr>
          <w:rFonts w:cs="Arial"/>
        </w:rPr>
        <w:t>Treatment</w:t>
      </w:r>
      <w:proofErr w:type="spellEnd"/>
      <w:r w:rsidRPr="00766A30">
        <w:rPr>
          <w:rFonts w:cs="Arial"/>
        </w:rPr>
        <w:t xml:space="preserve"> Panel III/ATP-III) aparecido en 2001 recomienda a las </w:t>
      </w:r>
      <w:proofErr w:type="spellStart"/>
      <w:r w:rsidRPr="00766A30">
        <w:rPr>
          <w:rFonts w:cs="Arial"/>
        </w:rPr>
        <w:t>estatinas</w:t>
      </w:r>
      <w:proofErr w:type="spellEnd"/>
      <w:r w:rsidRPr="00766A30">
        <w:rPr>
          <w:rFonts w:cs="Arial"/>
        </w:rPr>
        <w:t xml:space="preserve"> como primera línea de tratamiento para reducir colesterol LDL, según las metas definidas en cada caso, cuando las modificaciones  del estilo de vida fueron insuficientes. </w:t>
      </w:r>
    </w:p>
    <w:p w:rsidR="00C144EE" w:rsidRPr="00766A30" w:rsidRDefault="00C144EE" w:rsidP="00C144EE">
      <w:pPr>
        <w:tabs>
          <w:tab w:val="left" w:pos="1320"/>
        </w:tabs>
        <w:ind w:left="113"/>
        <w:jc w:val="both"/>
        <w:rPr>
          <w:rFonts w:cs="Arial"/>
        </w:rPr>
      </w:pPr>
      <w:r w:rsidRPr="00766A30">
        <w:rPr>
          <w:rFonts w:cs="Arial"/>
        </w:rPr>
        <w:t xml:space="preserve">Desde entonces se publicaron grandes ensayos clínicos, que confirmaron esta recomendación y ampliaron sus indicaciones a pacientes de alto riego para evitar nuevos eventos CV severos, independientemente de los niveles de colesterol que presenten. </w:t>
      </w:r>
    </w:p>
    <w:p w:rsidR="00C144EE" w:rsidRPr="00766A30" w:rsidRDefault="00C144EE" w:rsidP="00C144EE">
      <w:pPr>
        <w:tabs>
          <w:tab w:val="left" w:pos="1320"/>
        </w:tabs>
        <w:ind w:left="113"/>
        <w:jc w:val="both"/>
        <w:rPr>
          <w:rFonts w:cs="Arial"/>
        </w:rPr>
      </w:pPr>
    </w:p>
    <w:p w:rsidR="00C144EE" w:rsidRPr="00766A30" w:rsidRDefault="00C144EE" w:rsidP="00C144EE">
      <w:pPr>
        <w:tabs>
          <w:tab w:val="left" w:pos="1320"/>
        </w:tabs>
        <w:ind w:left="113"/>
        <w:jc w:val="both"/>
        <w:rPr>
          <w:rFonts w:cs="Arial"/>
        </w:rPr>
      </w:pPr>
      <w:r w:rsidRPr="00766A30">
        <w:rPr>
          <w:rFonts w:cs="Arial"/>
        </w:rPr>
        <w:t xml:space="preserve">Las </w:t>
      </w:r>
      <w:proofErr w:type="spellStart"/>
      <w:r w:rsidRPr="00766A30">
        <w:rPr>
          <w:rFonts w:cs="Arial"/>
          <w:i/>
        </w:rPr>
        <w:t>estatinas</w:t>
      </w:r>
      <w:proofErr w:type="spellEnd"/>
      <w:r w:rsidRPr="00766A30">
        <w:rPr>
          <w:rFonts w:cs="Arial"/>
          <w:i/>
        </w:rPr>
        <w:t xml:space="preserve"> incluidas</w:t>
      </w:r>
      <w:r w:rsidR="002D612E">
        <w:rPr>
          <w:rFonts w:cs="Arial"/>
        </w:rPr>
        <w:t xml:space="preserve"> en el FT SEMPRE 2019</w:t>
      </w:r>
      <w:r w:rsidRPr="00766A30">
        <w:rPr>
          <w:rFonts w:cs="Arial"/>
        </w:rPr>
        <w:t xml:space="preserve"> son las que han mostrado beneficios en grandes estudios epidemiológicos experimentales a largo plazo y cuentan con años en el mercado, que dan cuenta de su seguridad en la comunidad. Exigen monitoreo de la función hepática y muscular.</w:t>
      </w:r>
    </w:p>
    <w:p w:rsidR="00C144EE" w:rsidRPr="00766A30" w:rsidRDefault="00C144EE" w:rsidP="00C144EE">
      <w:pPr>
        <w:tabs>
          <w:tab w:val="left" w:pos="1320"/>
        </w:tabs>
        <w:ind w:left="113"/>
        <w:rPr>
          <w:rFonts w:cs="Arial"/>
          <w:b/>
          <w:i/>
          <w:color w:val="00B050"/>
        </w:rPr>
      </w:pPr>
    </w:p>
    <w:p w:rsidR="00C144EE" w:rsidRPr="00766A30" w:rsidRDefault="00C144EE" w:rsidP="00C144EE">
      <w:pPr>
        <w:tabs>
          <w:tab w:val="left" w:pos="1320"/>
        </w:tabs>
        <w:ind w:left="113"/>
        <w:rPr>
          <w:rFonts w:cs="Arial"/>
          <w:b/>
          <w:i/>
          <w:color w:val="00B050"/>
        </w:rPr>
      </w:pPr>
      <w:r w:rsidRPr="00766A30">
        <w:rPr>
          <w:rFonts w:cs="Arial"/>
          <w:b/>
          <w:i/>
          <w:color w:val="00B050"/>
        </w:rPr>
        <w:t>C10AA01</w:t>
      </w:r>
      <w:r w:rsidRPr="00766A30">
        <w:rPr>
          <w:rFonts w:cs="Arial"/>
          <w:b/>
          <w:i/>
          <w:color w:val="00B050"/>
        </w:rPr>
        <w:tab/>
        <w:t xml:space="preserve">SIMVASTATIN  </w:t>
      </w:r>
    </w:p>
    <w:p w:rsidR="00C144EE" w:rsidRPr="00766A30" w:rsidRDefault="00C144EE" w:rsidP="00396EBC">
      <w:pPr>
        <w:numPr>
          <w:ilvl w:val="0"/>
          <w:numId w:val="30"/>
        </w:numPr>
        <w:spacing w:after="0" w:line="240" w:lineRule="auto"/>
        <w:jc w:val="both"/>
        <w:rPr>
          <w:snapToGrid w:val="0"/>
        </w:rPr>
      </w:pPr>
      <w:r w:rsidRPr="00766A30">
        <w:rPr>
          <w:snapToGrid w:val="0"/>
        </w:rPr>
        <w:t xml:space="preserve">Fármaco de elección en pacientes con hipercolesterolemia primaria o  </w:t>
      </w:r>
      <w:proofErr w:type="spellStart"/>
      <w:r w:rsidRPr="00766A30">
        <w:rPr>
          <w:snapToGrid w:val="0"/>
        </w:rPr>
        <w:t>dislipemia</w:t>
      </w:r>
      <w:proofErr w:type="spellEnd"/>
      <w:r w:rsidRPr="00766A30">
        <w:rPr>
          <w:snapToGrid w:val="0"/>
        </w:rPr>
        <w:t xml:space="preserve"> mixta, no controlados con dieta. Dosis habitual: 20-40 mg/día. Dosis máxima: 80 mg /día.</w:t>
      </w:r>
    </w:p>
    <w:p w:rsidR="00C144EE" w:rsidRPr="00766A30" w:rsidRDefault="00C144EE" w:rsidP="00396EBC">
      <w:pPr>
        <w:numPr>
          <w:ilvl w:val="0"/>
          <w:numId w:val="30"/>
        </w:numPr>
        <w:spacing w:after="0" w:line="240" w:lineRule="auto"/>
        <w:jc w:val="both"/>
        <w:rPr>
          <w:snapToGrid w:val="0"/>
        </w:rPr>
      </w:pPr>
      <w:r w:rsidRPr="00766A30">
        <w:rPr>
          <w:snapToGrid w:val="0"/>
        </w:rPr>
        <w:t xml:space="preserve">Prevención de eventos CV (muerte de causa coronaria / IAM / ACV) independientemente de los niveles de colesterol, en pacientes que presenten cualquiera de estas comorbilidades: a) enfermedad coronaria establecida con o sin IAM previo, b) historia de  ACV-AIT o claudicación intermitente por </w:t>
      </w:r>
      <w:proofErr w:type="spellStart"/>
      <w:r w:rsidRPr="00766A30">
        <w:rPr>
          <w:snapToGrid w:val="0"/>
        </w:rPr>
        <w:t>arteriopatia</w:t>
      </w:r>
      <w:proofErr w:type="spellEnd"/>
      <w:r w:rsidRPr="00766A30">
        <w:rPr>
          <w:snapToGrid w:val="0"/>
        </w:rPr>
        <w:t xml:space="preserve"> periférica y c) diagnóstico de diabetes (DM). Dosis: 40 mg /día.</w:t>
      </w:r>
    </w:p>
    <w:p w:rsidR="00C144EE" w:rsidRPr="00766A30" w:rsidRDefault="00C144EE" w:rsidP="00396EBC">
      <w:pPr>
        <w:numPr>
          <w:ilvl w:val="0"/>
          <w:numId w:val="30"/>
        </w:numPr>
        <w:spacing w:after="0" w:line="240" w:lineRule="auto"/>
        <w:jc w:val="both"/>
        <w:rPr>
          <w:snapToGrid w:val="0"/>
        </w:rPr>
      </w:pPr>
      <w:r w:rsidRPr="00766A30">
        <w:rPr>
          <w:snapToGrid w:val="0"/>
        </w:rPr>
        <w:t xml:space="preserve">Tratamiento combinado con </w:t>
      </w:r>
      <w:proofErr w:type="spellStart"/>
      <w:r w:rsidRPr="00766A30">
        <w:rPr>
          <w:snapToGrid w:val="0"/>
        </w:rPr>
        <w:t>fibratos</w:t>
      </w:r>
      <w:proofErr w:type="spellEnd"/>
      <w:r w:rsidRPr="00766A30">
        <w:rPr>
          <w:snapToGrid w:val="0"/>
        </w:rPr>
        <w:t xml:space="preserve"> para el fenotipo II b. Dosis habitual: 20-40 mg/día. Dosis máxima: 80 mg /día</w:t>
      </w:r>
    </w:p>
    <w:p w:rsidR="00C144EE" w:rsidRPr="00766A30" w:rsidRDefault="00C144EE" w:rsidP="00C144EE">
      <w:pPr>
        <w:tabs>
          <w:tab w:val="left" w:pos="1320"/>
        </w:tabs>
        <w:ind w:left="113"/>
        <w:rPr>
          <w:rFonts w:cs="Arial"/>
        </w:rPr>
      </w:pPr>
    </w:p>
    <w:p w:rsidR="00C144EE" w:rsidRPr="00766A30" w:rsidRDefault="00C144EE" w:rsidP="00C144EE">
      <w:pPr>
        <w:tabs>
          <w:tab w:val="left" w:pos="1320"/>
        </w:tabs>
        <w:ind w:left="113"/>
        <w:rPr>
          <w:rFonts w:cs="Arial"/>
          <w:b/>
          <w:i/>
          <w:color w:val="00B050"/>
          <w:lang w:val="fr-FR"/>
        </w:rPr>
      </w:pPr>
      <w:r w:rsidRPr="00766A30">
        <w:rPr>
          <w:rFonts w:cs="Arial"/>
          <w:b/>
          <w:i/>
          <w:color w:val="00B050"/>
          <w:lang w:val="fr-FR"/>
        </w:rPr>
        <w:t>C10AA03</w:t>
      </w:r>
      <w:r w:rsidRPr="00766A30">
        <w:rPr>
          <w:rFonts w:cs="Arial"/>
          <w:b/>
          <w:i/>
          <w:color w:val="00B050"/>
          <w:lang w:val="fr-FR"/>
        </w:rPr>
        <w:tab/>
        <w:t xml:space="preserve">PRAVASTATIN </w:t>
      </w:r>
    </w:p>
    <w:p w:rsidR="00C144EE" w:rsidRPr="00766A30" w:rsidRDefault="00C144EE" w:rsidP="00396EBC">
      <w:pPr>
        <w:numPr>
          <w:ilvl w:val="0"/>
          <w:numId w:val="31"/>
        </w:numPr>
        <w:spacing w:after="0" w:line="240" w:lineRule="auto"/>
        <w:jc w:val="both"/>
        <w:rPr>
          <w:snapToGrid w:val="0"/>
        </w:rPr>
      </w:pPr>
      <w:r w:rsidRPr="00766A30">
        <w:rPr>
          <w:snapToGrid w:val="0"/>
        </w:rPr>
        <w:t xml:space="preserve">Fármaco de elección en pacientes con hipercolesterolemia primaria o </w:t>
      </w:r>
      <w:proofErr w:type="spellStart"/>
      <w:r w:rsidRPr="00766A30">
        <w:rPr>
          <w:snapToGrid w:val="0"/>
        </w:rPr>
        <w:t>dislipemia</w:t>
      </w:r>
      <w:proofErr w:type="spellEnd"/>
      <w:r w:rsidRPr="00766A30">
        <w:rPr>
          <w:snapToGrid w:val="0"/>
        </w:rPr>
        <w:t xml:space="preserve"> mixta, no controlados con dieta. Dosis habitual: 40 mg/día. Dosis máxima: 80 mg /día.</w:t>
      </w:r>
    </w:p>
    <w:p w:rsidR="00C144EE" w:rsidRPr="00766A30" w:rsidRDefault="00C144EE" w:rsidP="00396EBC">
      <w:pPr>
        <w:numPr>
          <w:ilvl w:val="0"/>
          <w:numId w:val="31"/>
        </w:numPr>
        <w:spacing w:after="0" w:line="240" w:lineRule="auto"/>
        <w:jc w:val="both"/>
        <w:rPr>
          <w:snapToGrid w:val="0"/>
        </w:rPr>
      </w:pPr>
      <w:r w:rsidRPr="00766A30">
        <w:rPr>
          <w:snapToGrid w:val="0"/>
        </w:rPr>
        <w:t xml:space="preserve">Prevención primaria y secundaria de eventos CV (muerte de causa coronaria / IAM / ACV) en pacientes sin </w:t>
      </w:r>
      <w:proofErr w:type="spellStart"/>
      <w:r w:rsidRPr="00766A30">
        <w:rPr>
          <w:snapToGrid w:val="0"/>
        </w:rPr>
        <w:t>dislipemias</w:t>
      </w:r>
      <w:proofErr w:type="spellEnd"/>
      <w:r w:rsidRPr="00766A30">
        <w:rPr>
          <w:snapToGrid w:val="0"/>
        </w:rPr>
        <w:t xml:space="preserve"> cuando exista cualquiera de las siguientes: a) enfermedad coronaria establecida con o sin IAM previo, b) historia de  ACV-AIT o claudicación intermitente por </w:t>
      </w:r>
      <w:proofErr w:type="spellStart"/>
      <w:r w:rsidRPr="00766A30">
        <w:rPr>
          <w:snapToGrid w:val="0"/>
        </w:rPr>
        <w:t>arteriopatia</w:t>
      </w:r>
      <w:proofErr w:type="spellEnd"/>
      <w:r w:rsidRPr="00766A30">
        <w:rPr>
          <w:snapToGrid w:val="0"/>
        </w:rPr>
        <w:t xml:space="preserve"> periférica y c) diagnóstico de diabetes (DM). Dosis: 40 mg /día</w:t>
      </w:r>
    </w:p>
    <w:p w:rsidR="00C144EE" w:rsidRPr="00766A30" w:rsidRDefault="00C144EE" w:rsidP="00C144EE">
      <w:pPr>
        <w:tabs>
          <w:tab w:val="left" w:pos="1161"/>
        </w:tabs>
        <w:ind w:left="50"/>
        <w:rPr>
          <w:rFonts w:cs="Arial"/>
        </w:rPr>
      </w:pPr>
    </w:p>
    <w:p w:rsidR="00C144EE" w:rsidRPr="009D2A33" w:rsidRDefault="00C144EE" w:rsidP="00C144EE">
      <w:pPr>
        <w:tabs>
          <w:tab w:val="left" w:pos="1161"/>
        </w:tabs>
        <w:ind w:left="50"/>
        <w:rPr>
          <w:rFonts w:cs="Arial"/>
          <w:b/>
          <w:i/>
        </w:rPr>
      </w:pPr>
      <w:r w:rsidRPr="00766A30">
        <w:rPr>
          <w:rFonts w:cs="Arial"/>
        </w:rPr>
        <w:t xml:space="preserve"> </w:t>
      </w:r>
      <w:r w:rsidRPr="009D2A33">
        <w:rPr>
          <w:rFonts w:cs="Arial"/>
          <w:b/>
          <w:i/>
          <w:color w:val="00B050"/>
          <w:lang w:val="fr-FR"/>
        </w:rPr>
        <w:t>C10AA05</w:t>
      </w:r>
      <w:r w:rsidRPr="009D2A33">
        <w:rPr>
          <w:rFonts w:cs="Arial"/>
          <w:b/>
          <w:i/>
          <w:color w:val="00B050"/>
          <w:lang w:val="fr-FR"/>
        </w:rPr>
        <w:tab/>
        <w:t xml:space="preserve">  ATORVASTATIN </w:t>
      </w:r>
    </w:p>
    <w:p w:rsidR="00C144EE" w:rsidRPr="00766A30" w:rsidRDefault="00C144EE" w:rsidP="00396EBC">
      <w:pPr>
        <w:numPr>
          <w:ilvl w:val="0"/>
          <w:numId w:val="32"/>
        </w:numPr>
        <w:spacing w:after="0" w:line="240" w:lineRule="auto"/>
        <w:jc w:val="both"/>
        <w:rPr>
          <w:rFonts w:cs="Arial"/>
          <w:snapToGrid w:val="0"/>
        </w:rPr>
      </w:pPr>
      <w:r w:rsidRPr="00766A30">
        <w:rPr>
          <w:snapToGrid w:val="0"/>
        </w:rPr>
        <w:t xml:space="preserve">Fármaco de elección en pacientes hipercolesterolemia primaria no controlados con dieta. Dosis habitual: 10-20 mg/día. </w:t>
      </w:r>
    </w:p>
    <w:p w:rsidR="00C144EE" w:rsidRPr="00766A30" w:rsidRDefault="00C144EE" w:rsidP="00396EBC">
      <w:pPr>
        <w:numPr>
          <w:ilvl w:val="0"/>
          <w:numId w:val="32"/>
        </w:numPr>
        <w:spacing w:after="0" w:line="240" w:lineRule="auto"/>
        <w:jc w:val="both"/>
        <w:rPr>
          <w:rFonts w:cs="Arial"/>
          <w:snapToGrid w:val="0"/>
        </w:rPr>
      </w:pPr>
      <w:proofErr w:type="spellStart"/>
      <w:r w:rsidRPr="00766A30">
        <w:rPr>
          <w:rFonts w:cs="Arial"/>
          <w:snapToGrid w:val="0"/>
        </w:rPr>
        <w:t>Hipolipemiante</w:t>
      </w:r>
      <w:proofErr w:type="spellEnd"/>
      <w:r w:rsidRPr="00766A30">
        <w:rPr>
          <w:rFonts w:cs="Arial"/>
          <w:snapToGrid w:val="0"/>
        </w:rPr>
        <w:t xml:space="preserve"> de primera elección en </w:t>
      </w:r>
      <w:proofErr w:type="spellStart"/>
      <w:r w:rsidRPr="00766A30">
        <w:rPr>
          <w:rFonts w:cs="Arial"/>
          <w:snapToGrid w:val="0"/>
        </w:rPr>
        <w:t>dislipemia</w:t>
      </w:r>
      <w:proofErr w:type="spellEnd"/>
      <w:r w:rsidRPr="00766A30">
        <w:rPr>
          <w:rFonts w:cs="Arial"/>
          <w:snapToGrid w:val="0"/>
        </w:rPr>
        <w:t xml:space="preserve"> mixta (tipo II B) y la </w:t>
      </w:r>
      <w:proofErr w:type="spellStart"/>
      <w:r w:rsidRPr="00766A30">
        <w:rPr>
          <w:rFonts w:cs="Arial"/>
          <w:snapToGrid w:val="0"/>
        </w:rPr>
        <w:t>hiperlipoproteinemia</w:t>
      </w:r>
      <w:proofErr w:type="spellEnd"/>
      <w:r w:rsidRPr="00766A30">
        <w:rPr>
          <w:rFonts w:cs="Arial"/>
          <w:snapToGrid w:val="0"/>
        </w:rPr>
        <w:t xml:space="preserve"> familiar (tipo III) no controlados con dieta. Dosis: inicial 10-20 mg/día; máxima 80 mg/día.</w:t>
      </w:r>
    </w:p>
    <w:p w:rsidR="00C144EE" w:rsidRPr="00766A30" w:rsidRDefault="00C144EE" w:rsidP="00396EBC">
      <w:pPr>
        <w:numPr>
          <w:ilvl w:val="0"/>
          <w:numId w:val="32"/>
        </w:numPr>
        <w:spacing w:after="0" w:line="240" w:lineRule="auto"/>
        <w:jc w:val="both"/>
        <w:rPr>
          <w:rFonts w:cs="Arial"/>
          <w:snapToGrid w:val="0"/>
        </w:rPr>
      </w:pPr>
      <w:r w:rsidRPr="00766A30">
        <w:rPr>
          <w:rFonts w:cs="Arial"/>
          <w:snapToGrid w:val="0"/>
        </w:rPr>
        <w:t xml:space="preserve"> </w:t>
      </w:r>
      <w:proofErr w:type="spellStart"/>
      <w:r w:rsidRPr="00766A30">
        <w:rPr>
          <w:rFonts w:cs="Arial"/>
          <w:snapToGrid w:val="0"/>
        </w:rPr>
        <w:t>Hipolipemiante</w:t>
      </w:r>
      <w:proofErr w:type="spellEnd"/>
      <w:r w:rsidRPr="00766A30">
        <w:rPr>
          <w:rFonts w:cs="Arial"/>
          <w:snapToGrid w:val="0"/>
        </w:rPr>
        <w:t xml:space="preserve"> de alternativa en pacientes con fenotipo II B </w:t>
      </w:r>
      <w:proofErr w:type="spellStart"/>
      <w:r w:rsidRPr="00766A30">
        <w:rPr>
          <w:rFonts w:cs="Arial"/>
          <w:snapToGrid w:val="0"/>
        </w:rPr>
        <w:t>pretratados</w:t>
      </w:r>
      <w:proofErr w:type="spellEnd"/>
      <w:r w:rsidRPr="00766A30">
        <w:rPr>
          <w:rFonts w:cs="Arial"/>
          <w:snapToGrid w:val="0"/>
        </w:rPr>
        <w:t xml:space="preserve"> </w:t>
      </w:r>
      <w:proofErr w:type="spellStart"/>
      <w:r w:rsidRPr="00766A30">
        <w:rPr>
          <w:rFonts w:cs="Arial"/>
          <w:snapToGrid w:val="0"/>
        </w:rPr>
        <w:t>fibratos</w:t>
      </w:r>
      <w:proofErr w:type="spellEnd"/>
      <w:r w:rsidRPr="00766A30">
        <w:rPr>
          <w:rFonts w:cs="Arial"/>
          <w:snapToGrid w:val="0"/>
        </w:rPr>
        <w:t>. Dosis: inicial 10-20 mg/día; máxima 80 mg/día.</w:t>
      </w:r>
    </w:p>
    <w:p w:rsidR="00C144EE" w:rsidRPr="00766A30" w:rsidRDefault="00C144EE" w:rsidP="00396EBC">
      <w:pPr>
        <w:numPr>
          <w:ilvl w:val="0"/>
          <w:numId w:val="32"/>
        </w:numPr>
        <w:spacing w:after="0" w:line="240" w:lineRule="auto"/>
        <w:jc w:val="both"/>
        <w:rPr>
          <w:rFonts w:cs="Arial"/>
          <w:snapToGrid w:val="0"/>
        </w:rPr>
      </w:pPr>
      <w:r w:rsidRPr="00766A30">
        <w:rPr>
          <w:rFonts w:cs="Arial"/>
          <w:snapToGrid w:val="0"/>
        </w:rPr>
        <w:t>Prevención de eventos CV (IAM-ACV) en diabéticos tipo II y en pacientes con enfermedad coronaria establecida o pacientes de alto riesgo independientemente de los niveles de colesterol. Dosis: 10-20mg mg/día por vía oral.</w:t>
      </w:r>
    </w:p>
    <w:p w:rsidR="00C144EE" w:rsidRPr="00766A30" w:rsidRDefault="00C144EE" w:rsidP="00C144EE">
      <w:pPr>
        <w:tabs>
          <w:tab w:val="left" w:pos="1320"/>
        </w:tabs>
        <w:ind w:left="113"/>
        <w:rPr>
          <w:rFonts w:cs="Arial"/>
        </w:rPr>
      </w:pPr>
    </w:p>
    <w:p w:rsidR="00C144EE" w:rsidRPr="009D2A33" w:rsidRDefault="00C144EE" w:rsidP="00C144EE">
      <w:pPr>
        <w:tabs>
          <w:tab w:val="left" w:pos="1320"/>
        </w:tabs>
        <w:ind w:left="113"/>
        <w:rPr>
          <w:rFonts w:cs="Arial"/>
          <w:b/>
          <w:i/>
          <w:color w:val="00B050"/>
        </w:rPr>
      </w:pPr>
      <w:r w:rsidRPr="009D2A33">
        <w:rPr>
          <w:rFonts w:cs="Arial"/>
          <w:b/>
          <w:i/>
          <w:color w:val="00B050"/>
        </w:rPr>
        <w:t>C10AB</w:t>
      </w:r>
      <w:r w:rsidRPr="009D2A33">
        <w:rPr>
          <w:rFonts w:cs="Arial"/>
          <w:b/>
          <w:i/>
          <w:color w:val="00B050"/>
        </w:rPr>
        <w:tab/>
        <w:t>FIBRATOS</w:t>
      </w:r>
    </w:p>
    <w:p w:rsidR="00F759EA" w:rsidRPr="00F759EA" w:rsidRDefault="00F759EA" w:rsidP="00F759EA">
      <w:pPr>
        <w:tabs>
          <w:tab w:val="left" w:pos="1161"/>
        </w:tabs>
        <w:ind w:left="50"/>
        <w:rPr>
          <w:rFonts w:cs="Arial"/>
          <w:b/>
          <w:i/>
          <w:color w:val="00B050"/>
        </w:rPr>
      </w:pPr>
      <w:r w:rsidRPr="00F759EA">
        <w:rPr>
          <w:rFonts w:cs="Arial"/>
          <w:b/>
          <w:i/>
          <w:color w:val="00B050"/>
        </w:rPr>
        <w:t>C10AB02</w:t>
      </w:r>
      <w:r w:rsidRPr="00F759EA">
        <w:rPr>
          <w:rFonts w:cs="Arial"/>
          <w:b/>
          <w:i/>
          <w:color w:val="00B050"/>
        </w:rPr>
        <w:tab/>
        <w:t xml:space="preserve">BEZAFIBRATO </w:t>
      </w:r>
    </w:p>
    <w:p w:rsidR="00F759EA" w:rsidRPr="00F759EA" w:rsidRDefault="00F759EA" w:rsidP="00396EBC">
      <w:pPr>
        <w:pStyle w:val="Textoindependiente"/>
        <w:numPr>
          <w:ilvl w:val="0"/>
          <w:numId w:val="76"/>
        </w:numPr>
        <w:rPr>
          <w:rFonts w:asciiTheme="minorHAnsi" w:hAnsiTheme="minorHAnsi" w:cs="Arial"/>
          <w:sz w:val="22"/>
          <w:szCs w:val="22"/>
        </w:rPr>
      </w:pPr>
      <w:proofErr w:type="spellStart"/>
      <w:r w:rsidRPr="00F759EA">
        <w:rPr>
          <w:rFonts w:asciiTheme="minorHAnsi" w:hAnsiTheme="minorHAnsi" w:cs="Arial"/>
          <w:sz w:val="22"/>
          <w:szCs w:val="22"/>
        </w:rPr>
        <w:t>Hipolipemiante</w:t>
      </w:r>
      <w:proofErr w:type="spellEnd"/>
      <w:r w:rsidRPr="00F759EA">
        <w:rPr>
          <w:rFonts w:asciiTheme="minorHAnsi" w:hAnsiTheme="minorHAnsi" w:cs="Arial"/>
          <w:sz w:val="22"/>
          <w:szCs w:val="22"/>
        </w:rPr>
        <w:t xml:space="preserve"> de alternativa para la </w:t>
      </w:r>
      <w:proofErr w:type="spellStart"/>
      <w:r w:rsidRPr="00F759EA">
        <w:rPr>
          <w:rFonts w:asciiTheme="minorHAnsi" w:hAnsiTheme="minorHAnsi" w:cs="Arial"/>
          <w:sz w:val="22"/>
          <w:szCs w:val="22"/>
        </w:rPr>
        <w:t>hiperliproteinemia</w:t>
      </w:r>
      <w:proofErr w:type="spellEnd"/>
      <w:r w:rsidRPr="00F759EA">
        <w:rPr>
          <w:rFonts w:asciiTheme="minorHAnsi" w:hAnsiTheme="minorHAnsi" w:cs="Arial"/>
          <w:sz w:val="22"/>
          <w:szCs w:val="22"/>
        </w:rPr>
        <w:t xml:space="preserve"> tipo II y IV. Dosis: 400 mg /l día en una toma; 200mg 3 veces al día. </w:t>
      </w:r>
    </w:p>
    <w:p w:rsidR="00F759EA" w:rsidRDefault="00F759EA" w:rsidP="00C144EE">
      <w:pPr>
        <w:tabs>
          <w:tab w:val="left" w:pos="1320"/>
        </w:tabs>
        <w:ind w:left="113"/>
        <w:rPr>
          <w:rFonts w:cs="Arial"/>
          <w:b/>
          <w:i/>
          <w:color w:val="00B050"/>
        </w:rPr>
      </w:pPr>
    </w:p>
    <w:p w:rsidR="00C144EE" w:rsidRPr="009D2A33" w:rsidRDefault="00C144EE" w:rsidP="00C144EE">
      <w:pPr>
        <w:tabs>
          <w:tab w:val="left" w:pos="1320"/>
        </w:tabs>
        <w:ind w:left="113"/>
        <w:rPr>
          <w:rFonts w:cs="Arial"/>
          <w:b/>
          <w:i/>
          <w:color w:val="00B050"/>
        </w:rPr>
      </w:pPr>
      <w:r w:rsidRPr="009D2A33">
        <w:rPr>
          <w:rFonts w:cs="Arial"/>
          <w:b/>
          <w:i/>
          <w:color w:val="00B050"/>
        </w:rPr>
        <w:t>C10AB04</w:t>
      </w:r>
      <w:r w:rsidRPr="009D2A33">
        <w:rPr>
          <w:rFonts w:cs="Arial"/>
          <w:b/>
          <w:i/>
          <w:color w:val="00B050"/>
        </w:rPr>
        <w:tab/>
        <w:t xml:space="preserve">GEMFIBROZIL </w:t>
      </w:r>
    </w:p>
    <w:p w:rsidR="00C144EE" w:rsidRPr="009D2A33" w:rsidRDefault="00C144EE" w:rsidP="00396EBC">
      <w:pPr>
        <w:numPr>
          <w:ilvl w:val="0"/>
          <w:numId w:val="33"/>
        </w:numPr>
        <w:spacing w:after="0" w:line="240" w:lineRule="auto"/>
        <w:jc w:val="both"/>
        <w:rPr>
          <w:snapToGrid w:val="0"/>
        </w:rPr>
      </w:pPr>
      <w:r w:rsidRPr="009D2A33">
        <w:rPr>
          <w:snapToGrid w:val="0"/>
        </w:rPr>
        <w:t xml:space="preserve">Tratamiento de la </w:t>
      </w:r>
      <w:proofErr w:type="spellStart"/>
      <w:r w:rsidRPr="009D2A33">
        <w:rPr>
          <w:snapToGrid w:val="0"/>
        </w:rPr>
        <w:t>dislipemia</w:t>
      </w:r>
      <w:proofErr w:type="spellEnd"/>
      <w:r w:rsidRPr="009D2A33">
        <w:rPr>
          <w:snapToGrid w:val="0"/>
        </w:rPr>
        <w:t xml:space="preserve"> como alternativa o adyuvante al ácido nicotínico en los fenotipos IV y V. Dosis: hasta 1.200 mg/día.</w:t>
      </w:r>
    </w:p>
    <w:p w:rsidR="00C144EE" w:rsidRPr="009D2A33" w:rsidRDefault="00C144EE" w:rsidP="00396EBC">
      <w:pPr>
        <w:numPr>
          <w:ilvl w:val="0"/>
          <w:numId w:val="33"/>
        </w:numPr>
        <w:spacing w:after="0" w:line="240" w:lineRule="auto"/>
        <w:jc w:val="both"/>
        <w:rPr>
          <w:snapToGrid w:val="0"/>
        </w:rPr>
      </w:pPr>
      <w:r w:rsidRPr="009D2A33">
        <w:rPr>
          <w:snapToGrid w:val="0"/>
        </w:rPr>
        <w:t xml:space="preserve">Reducción del riesgo de enfermedad coronaria (IAM) y ACV en pacientes con diagnóstico de </w:t>
      </w:r>
      <w:proofErr w:type="spellStart"/>
      <w:r w:rsidRPr="009D2A33">
        <w:rPr>
          <w:snapToGrid w:val="0"/>
        </w:rPr>
        <w:t>dislipemia</w:t>
      </w:r>
      <w:proofErr w:type="spellEnd"/>
      <w:r w:rsidRPr="009D2A33">
        <w:rPr>
          <w:snapToGrid w:val="0"/>
        </w:rPr>
        <w:t xml:space="preserve"> mixta con aumento de LDL + triglicéridos con HDL normal o bajo. Dosis: hasta 1.200 mg/día.</w:t>
      </w:r>
    </w:p>
    <w:p w:rsidR="00C144EE" w:rsidRPr="009D2A33" w:rsidRDefault="00C144EE" w:rsidP="00C144EE">
      <w:pPr>
        <w:tabs>
          <w:tab w:val="left" w:pos="1320"/>
        </w:tabs>
        <w:ind w:left="113"/>
        <w:rPr>
          <w:rFonts w:cs="Arial"/>
        </w:rPr>
      </w:pPr>
    </w:p>
    <w:p w:rsidR="00C144EE" w:rsidRPr="009D2A33" w:rsidRDefault="00C144EE" w:rsidP="00C144EE">
      <w:pPr>
        <w:tabs>
          <w:tab w:val="left" w:pos="1320"/>
        </w:tabs>
        <w:ind w:left="113"/>
        <w:rPr>
          <w:rFonts w:cs="Arial"/>
          <w:b/>
          <w:i/>
          <w:color w:val="00B050"/>
        </w:rPr>
      </w:pPr>
      <w:r w:rsidRPr="009D2A33">
        <w:rPr>
          <w:rFonts w:cs="Arial"/>
          <w:b/>
          <w:i/>
          <w:color w:val="00B050"/>
        </w:rPr>
        <w:t>C10AC</w:t>
      </w:r>
      <w:r w:rsidRPr="009D2A33">
        <w:rPr>
          <w:rFonts w:cs="Arial"/>
          <w:b/>
          <w:i/>
          <w:color w:val="00B050"/>
        </w:rPr>
        <w:tab/>
        <w:t>SECUESTRADORES DE ACIDOS BILIARES</w:t>
      </w:r>
    </w:p>
    <w:p w:rsidR="00C144EE" w:rsidRPr="009D2A33" w:rsidRDefault="00C144EE" w:rsidP="00C144EE">
      <w:pPr>
        <w:tabs>
          <w:tab w:val="left" w:pos="1320"/>
        </w:tabs>
        <w:ind w:left="113"/>
        <w:rPr>
          <w:rFonts w:cs="Arial"/>
          <w:b/>
          <w:i/>
          <w:color w:val="00B050"/>
        </w:rPr>
      </w:pPr>
      <w:r w:rsidRPr="009D2A33">
        <w:rPr>
          <w:rFonts w:cs="Arial"/>
          <w:b/>
          <w:i/>
          <w:color w:val="00B050"/>
        </w:rPr>
        <w:t>C10AC01</w:t>
      </w:r>
      <w:r w:rsidRPr="009D2A33">
        <w:rPr>
          <w:rFonts w:cs="Arial"/>
          <w:b/>
          <w:i/>
          <w:color w:val="00B050"/>
        </w:rPr>
        <w:tab/>
        <w:t xml:space="preserve">COLESTIRAMINA </w:t>
      </w:r>
    </w:p>
    <w:p w:rsidR="00C144EE" w:rsidRPr="009D2A33" w:rsidRDefault="00C144EE" w:rsidP="00396EBC">
      <w:pPr>
        <w:numPr>
          <w:ilvl w:val="0"/>
          <w:numId w:val="34"/>
        </w:numPr>
        <w:spacing w:after="0" w:line="240" w:lineRule="auto"/>
        <w:jc w:val="both"/>
        <w:rPr>
          <w:snapToGrid w:val="0"/>
        </w:rPr>
      </w:pPr>
      <w:r w:rsidRPr="009D2A33">
        <w:rPr>
          <w:snapToGrid w:val="0"/>
        </w:rPr>
        <w:t xml:space="preserve">Tratamiento de la </w:t>
      </w:r>
      <w:proofErr w:type="spellStart"/>
      <w:r w:rsidRPr="009D2A33">
        <w:rPr>
          <w:snapToGrid w:val="0"/>
        </w:rPr>
        <w:t>dislipemia</w:t>
      </w:r>
      <w:proofErr w:type="spellEnd"/>
      <w:r w:rsidRPr="009D2A33">
        <w:rPr>
          <w:snapToGrid w:val="0"/>
        </w:rPr>
        <w:t xml:space="preserve"> como alternativa en fenotipos  II a; II b refractarios a su primera elección. Dosis: inicial </w:t>
      </w:r>
      <w:smartTag w:uri="urn:schemas-microsoft-com:office:smarttags" w:element="metricconverter">
        <w:smartTagPr>
          <w:attr w:name="ProductID" w:val="4 g"/>
        </w:smartTagPr>
        <w:r w:rsidRPr="009D2A33">
          <w:rPr>
            <w:snapToGrid w:val="0"/>
          </w:rPr>
          <w:t>4 g</w:t>
        </w:r>
      </w:smartTag>
      <w:r w:rsidRPr="009D2A33">
        <w:rPr>
          <w:snapToGrid w:val="0"/>
        </w:rPr>
        <w:t xml:space="preserve"> una o dos veces al día; mantenimiento: 8-16 gr/día; máxima 24 gr/día.</w:t>
      </w:r>
    </w:p>
    <w:p w:rsidR="00C144EE" w:rsidRPr="009D2A33" w:rsidRDefault="00C144EE" w:rsidP="00396EBC">
      <w:pPr>
        <w:numPr>
          <w:ilvl w:val="0"/>
          <w:numId w:val="34"/>
        </w:numPr>
        <w:spacing w:after="0" w:line="240" w:lineRule="auto"/>
        <w:jc w:val="both"/>
        <w:rPr>
          <w:snapToGrid w:val="0"/>
        </w:rPr>
      </w:pPr>
      <w:r w:rsidRPr="009D2A33">
        <w:rPr>
          <w:snapToGrid w:val="0"/>
        </w:rPr>
        <w:t xml:space="preserve">Tratamiento del prurito en la CBP o por aumento de sales biliares de diversa etiología. Dosis: inicial </w:t>
      </w:r>
      <w:smartTag w:uri="urn:schemas-microsoft-com:office:smarttags" w:element="metricconverter">
        <w:smartTagPr>
          <w:attr w:name="ProductID" w:val="4 g"/>
        </w:smartTagPr>
        <w:r w:rsidRPr="009D2A33">
          <w:rPr>
            <w:snapToGrid w:val="0"/>
          </w:rPr>
          <w:t>4 g</w:t>
        </w:r>
      </w:smartTag>
      <w:r w:rsidRPr="009D2A33">
        <w:rPr>
          <w:snapToGrid w:val="0"/>
        </w:rPr>
        <w:t xml:space="preserve"> una o dos veces al día; mantenimiento: 8-16 gr/día; máxima 24 gr/día.</w:t>
      </w:r>
    </w:p>
    <w:p w:rsidR="00C144EE" w:rsidRPr="009D2A33" w:rsidRDefault="00C144EE" w:rsidP="00C144EE">
      <w:pPr>
        <w:tabs>
          <w:tab w:val="left" w:pos="1320"/>
        </w:tabs>
        <w:ind w:left="113"/>
        <w:rPr>
          <w:rFonts w:cs="Arial"/>
        </w:rPr>
      </w:pPr>
    </w:p>
    <w:p w:rsidR="00C144EE" w:rsidRPr="009D2A33" w:rsidRDefault="00C144EE" w:rsidP="00C144EE">
      <w:pPr>
        <w:tabs>
          <w:tab w:val="left" w:pos="1320"/>
        </w:tabs>
        <w:ind w:left="113"/>
        <w:rPr>
          <w:rFonts w:cs="Arial"/>
          <w:b/>
          <w:i/>
          <w:color w:val="00B050"/>
        </w:rPr>
      </w:pPr>
      <w:r w:rsidRPr="009D2A33">
        <w:rPr>
          <w:rFonts w:cs="Arial"/>
          <w:b/>
          <w:i/>
          <w:color w:val="00B050"/>
        </w:rPr>
        <w:t>C10AD</w:t>
      </w:r>
      <w:r w:rsidRPr="009D2A33">
        <w:rPr>
          <w:rFonts w:cs="Arial"/>
          <w:b/>
          <w:i/>
          <w:color w:val="00B050"/>
        </w:rPr>
        <w:tab/>
        <w:t>ACIDO NICOTINICO Y DERIVADOS</w:t>
      </w:r>
    </w:p>
    <w:p w:rsidR="00C144EE" w:rsidRPr="009D2A33" w:rsidRDefault="00C144EE" w:rsidP="00C144EE">
      <w:pPr>
        <w:tabs>
          <w:tab w:val="left" w:pos="1320"/>
        </w:tabs>
        <w:ind w:left="113"/>
        <w:rPr>
          <w:rFonts w:cs="Arial"/>
          <w:b/>
          <w:i/>
          <w:color w:val="00B050"/>
        </w:rPr>
      </w:pPr>
      <w:r w:rsidRPr="009D2A33">
        <w:rPr>
          <w:rFonts w:cs="Arial"/>
          <w:b/>
          <w:i/>
          <w:color w:val="00B050"/>
        </w:rPr>
        <w:t>C10AD02</w:t>
      </w:r>
      <w:r w:rsidRPr="009D2A33">
        <w:rPr>
          <w:rFonts w:cs="Arial"/>
          <w:b/>
          <w:i/>
          <w:color w:val="00B050"/>
        </w:rPr>
        <w:tab/>
        <w:t xml:space="preserve">ACIDO NICOTINICO </w:t>
      </w:r>
    </w:p>
    <w:p w:rsidR="00C144EE" w:rsidRPr="009D2A33" w:rsidRDefault="00C144EE" w:rsidP="00396EBC">
      <w:pPr>
        <w:numPr>
          <w:ilvl w:val="0"/>
          <w:numId w:val="35"/>
        </w:numPr>
        <w:spacing w:after="0" w:line="240" w:lineRule="auto"/>
        <w:jc w:val="both"/>
        <w:rPr>
          <w:snapToGrid w:val="0"/>
        </w:rPr>
      </w:pPr>
      <w:r w:rsidRPr="009D2A33">
        <w:rPr>
          <w:snapToGrid w:val="0"/>
        </w:rPr>
        <w:t>Tratamiento farmacológico de adición en los fenotipos II b, III, IV y V  refractarios a su primera elección. Dosis: inicial 500-1000 mg/día en 2 tomas durante 4 semanas; luego incrementos semanales de 500 mg/día; habitual 1,5 – 2 gr/día; máxima: 6 gr</w:t>
      </w:r>
    </w:p>
    <w:p w:rsidR="00C144EE" w:rsidRPr="009D2A33" w:rsidRDefault="00C144EE" w:rsidP="00396EBC">
      <w:pPr>
        <w:numPr>
          <w:ilvl w:val="0"/>
          <w:numId w:val="35"/>
        </w:numPr>
        <w:spacing w:after="0" w:line="240" w:lineRule="auto"/>
        <w:jc w:val="both"/>
        <w:rPr>
          <w:snapToGrid w:val="0"/>
        </w:rPr>
      </w:pPr>
      <w:r w:rsidRPr="009D2A33">
        <w:rPr>
          <w:snapToGrid w:val="0"/>
        </w:rPr>
        <w:t>Déficit vitamínico. Dosis: 50-100 mg/día.</w:t>
      </w:r>
    </w:p>
    <w:p w:rsidR="00C144EE" w:rsidRPr="009D2A33" w:rsidRDefault="00C144EE" w:rsidP="00396EBC">
      <w:pPr>
        <w:numPr>
          <w:ilvl w:val="0"/>
          <w:numId w:val="35"/>
        </w:numPr>
        <w:spacing w:after="0" w:line="240" w:lineRule="auto"/>
        <w:jc w:val="both"/>
        <w:rPr>
          <w:snapToGrid w:val="0"/>
        </w:rPr>
      </w:pPr>
      <w:r w:rsidRPr="009D2A33">
        <w:rPr>
          <w:snapToGrid w:val="0"/>
        </w:rPr>
        <w:t>Pelagra. Dosis: hasta 500 mg/día.</w:t>
      </w:r>
    </w:p>
    <w:p w:rsidR="00C144EE" w:rsidRPr="009D2A33" w:rsidRDefault="00C144EE" w:rsidP="00C144EE">
      <w:pPr>
        <w:tabs>
          <w:tab w:val="left" w:pos="1320"/>
        </w:tabs>
        <w:ind w:left="113"/>
        <w:rPr>
          <w:rFonts w:cs="Arial"/>
        </w:rPr>
      </w:pPr>
    </w:p>
    <w:p w:rsidR="00C144EE" w:rsidRPr="00E9331D" w:rsidRDefault="00C144EE" w:rsidP="00C144EE">
      <w:pPr>
        <w:tabs>
          <w:tab w:val="left" w:pos="1320"/>
        </w:tabs>
        <w:ind w:left="113"/>
        <w:rPr>
          <w:rFonts w:cs="Arial"/>
          <w:b/>
          <w:i/>
          <w:color w:val="00B050"/>
        </w:rPr>
      </w:pPr>
      <w:r w:rsidRPr="00E9331D">
        <w:rPr>
          <w:rFonts w:cs="Arial"/>
          <w:b/>
          <w:i/>
          <w:color w:val="00B050"/>
        </w:rPr>
        <w:t>D01A</w:t>
      </w:r>
      <w:r w:rsidRPr="00E9331D">
        <w:rPr>
          <w:rFonts w:cs="Arial"/>
          <w:b/>
          <w:i/>
          <w:color w:val="00B050"/>
        </w:rPr>
        <w:tab/>
        <w:t>ANTIFUNGICOS DE USO TOPICO</w:t>
      </w:r>
    </w:p>
    <w:p w:rsidR="00C144EE" w:rsidRPr="00E9331D" w:rsidRDefault="00C144EE" w:rsidP="00C144EE">
      <w:pPr>
        <w:tabs>
          <w:tab w:val="left" w:pos="1320"/>
        </w:tabs>
        <w:ind w:left="113"/>
        <w:rPr>
          <w:rFonts w:cs="Arial"/>
          <w:b/>
          <w:i/>
          <w:color w:val="00B050"/>
        </w:rPr>
      </w:pPr>
      <w:r w:rsidRPr="00E9331D">
        <w:rPr>
          <w:rFonts w:cs="Arial"/>
          <w:b/>
          <w:i/>
          <w:color w:val="00B050"/>
        </w:rPr>
        <w:t>D01AE15</w:t>
      </w:r>
      <w:r w:rsidRPr="00E9331D">
        <w:rPr>
          <w:rFonts w:cs="Arial"/>
          <w:b/>
          <w:i/>
          <w:color w:val="00B050"/>
        </w:rPr>
        <w:tab/>
        <w:t xml:space="preserve">TERBINAFINA  CLORHIDRATO </w:t>
      </w:r>
    </w:p>
    <w:p w:rsidR="00C144EE" w:rsidRPr="009D2A33" w:rsidRDefault="00C144EE" w:rsidP="00396EBC">
      <w:pPr>
        <w:numPr>
          <w:ilvl w:val="0"/>
          <w:numId w:val="36"/>
        </w:numPr>
        <w:spacing w:after="0" w:line="240" w:lineRule="auto"/>
        <w:jc w:val="both"/>
        <w:rPr>
          <w:snapToGrid w:val="0"/>
        </w:rPr>
      </w:pPr>
      <w:r w:rsidRPr="009D2A33">
        <w:rPr>
          <w:snapToGrid w:val="0"/>
        </w:rPr>
        <w:t>Pacientes con tiña corporal, crural, interdigital y/o plantar.</w:t>
      </w:r>
    </w:p>
    <w:p w:rsidR="00C144EE" w:rsidRPr="009D2A33" w:rsidRDefault="00C144EE" w:rsidP="00C144EE">
      <w:pPr>
        <w:tabs>
          <w:tab w:val="num" w:pos="720"/>
        </w:tabs>
        <w:ind w:left="720" w:hanging="360"/>
        <w:jc w:val="both"/>
        <w:rPr>
          <w:snapToGrid w:val="0"/>
        </w:rPr>
      </w:pPr>
      <w:r w:rsidRPr="009D2A33">
        <w:rPr>
          <w:snapToGrid w:val="0"/>
          <w:u w:val="single"/>
        </w:rPr>
        <w:t>Dosis</w:t>
      </w:r>
      <w:r w:rsidRPr="009D2A33">
        <w:rPr>
          <w:snapToGrid w:val="0"/>
        </w:rPr>
        <w:t xml:space="preserve">: crema al 1%, aplicar en la zona una o dos veces al día por un máximo de 4 semanas. </w:t>
      </w:r>
    </w:p>
    <w:p w:rsidR="00C144EE" w:rsidRPr="009D2A33" w:rsidRDefault="00C144EE" w:rsidP="00C144EE">
      <w:pPr>
        <w:tabs>
          <w:tab w:val="left" w:pos="1320"/>
        </w:tabs>
        <w:ind w:left="113"/>
        <w:rPr>
          <w:rFonts w:cs="Arial"/>
        </w:rPr>
      </w:pPr>
    </w:p>
    <w:p w:rsidR="00C144EE" w:rsidRPr="001D0EC4" w:rsidRDefault="00C144EE" w:rsidP="00C144EE">
      <w:pPr>
        <w:tabs>
          <w:tab w:val="left" w:pos="1320"/>
        </w:tabs>
        <w:ind w:left="113"/>
        <w:rPr>
          <w:rFonts w:cs="Arial"/>
          <w:b/>
          <w:i/>
          <w:color w:val="00B050"/>
        </w:rPr>
      </w:pPr>
      <w:r w:rsidRPr="001D0EC4">
        <w:rPr>
          <w:rFonts w:cs="Arial"/>
          <w:b/>
          <w:i/>
          <w:color w:val="00B050"/>
        </w:rPr>
        <w:t>D01BA</w:t>
      </w:r>
      <w:r w:rsidRPr="001D0EC4">
        <w:rPr>
          <w:rFonts w:cs="Arial"/>
          <w:b/>
          <w:i/>
          <w:color w:val="00B050"/>
        </w:rPr>
        <w:tab/>
        <w:t>ANTIFUNGICOS DE USO SISTEMICO</w:t>
      </w:r>
    </w:p>
    <w:p w:rsidR="00C144EE" w:rsidRPr="001D0EC4" w:rsidRDefault="00C144EE" w:rsidP="00C144EE">
      <w:pPr>
        <w:tabs>
          <w:tab w:val="left" w:pos="1320"/>
        </w:tabs>
        <w:ind w:left="113"/>
        <w:rPr>
          <w:rFonts w:cs="Arial"/>
          <w:b/>
          <w:i/>
          <w:color w:val="00B050"/>
        </w:rPr>
      </w:pPr>
      <w:r w:rsidRPr="001D0EC4">
        <w:rPr>
          <w:rFonts w:cs="Arial"/>
          <w:b/>
          <w:i/>
          <w:color w:val="00B050"/>
        </w:rPr>
        <w:t>D01BA02</w:t>
      </w:r>
      <w:r w:rsidRPr="001D0EC4">
        <w:rPr>
          <w:rFonts w:cs="Arial"/>
          <w:b/>
          <w:i/>
          <w:color w:val="00B050"/>
        </w:rPr>
        <w:tab/>
        <w:t xml:space="preserve">TERBINAFINA </w:t>
      </w:r>
    </w:p>
    <w:p w:rsidR="00C144EE" w:rsidRPr="001D0EC4" w:rsidRDefault="00C144EE" w:rsidP="00396EBC">
      <w:pPr>
        <w:numPr>
          <w:ilvl w:val="0"/>
          <w:numId w:val="36"/>
        </w:numPr>
        <w:spacing w:after="0" w:line="240" w:lineRule="auto"/>
        <w:jc w:val="both"/>
        <w:rPr>
          <w:snapToGrid w:val="0"/>
        </w:rPr>
      </w:pPr>
      <w:r w:rsidRPr="001D0EC4">
        <w:rPr>
          <w:snapToGrid w:val="0"/>
        </w:rPr>
        <w:t xml:space="preserve">Pacientes con </w:t>
      </w:r>
      <w:proofErr w:type="spellStart"/>
      <w:r w:rsidRPr="001D0EC4">
        <w:rPr>
          <w:snapToGrid w:val="0"/>
        </w:rPr>
        <w:t>onicomicosis</w:t>
      </w:r>
      <w:proofErr w:type="spellEnd"/>
      <w:r w:rsidRPr="001D0EC4">
        <w:rPr>
          <w:snapToGrid w:val="0"/>
        </w:rPr>
        <w:t xml:space="preserve"> severa producida por dermatofitos.</w:t>
      </w:r>
    </w:p>
    <w:p w:rsidR="00C144EE" w:rsidRPr="001D0EC4" w:rsidRDefault="00C144EE" w:rsidP="00C144EE">
      <w:pPr>
        <w:tabs>
          <w:tab w:val="num" w:pos="720"/>
        </w:tabs>
        <w:ind w:left="720" w:hanging="360"/>
        <w:jc w:val="both"/>
        <w:rPr>
          <w:snapToGrid w:val="0"/>
        </w:rPr>
      </w:pPr>
      <w:r w:rsidRPr="001D0EC4">
        <w:rPr>
          <w:snapToGrid w:val="0"/>
          <w:u w:val="single"/>
        </w:rPr>
        <w:t>Dosis</w:t>
      </w:r>
      <w:r w:rsidRPr="001D0EC4">
        <w:rPr>
          <w:snapToGrid w:val="0"/>
        </w:rPr>
        <w:t>: 250 mg/día por vía oral en una sola toma por 6-12 semanas.</w:t>
      </w:r>
    </w:p>
    <w:p w:rsidR="00C144EE" w:rsidRPr="001D0EC4" w:rsidRDefault="00C144EE" w:rsidP="00C144EE">
      <w:pPr>
        <w:tabs>
          <w:tab w:val="left" w:pos="1320"/>
        </w:tabs>
        <w:ind w:left="113"/>
        <w:rPr>
          <w:rFonts w:cs="Arial"/>
        </w:rPr>
      </w:pPr>
    </w:p>
    <w:p w:rsidR="00C144EE" w:rsidRDefault="00C144EE" w:rsidP="00C144EE">
      <w:pPr>
        <w:tabs>
          <w:tab w:val="left" w:pos="1161"/>
        </w:tabs>
        <w:ind w:left="50"/>
        <w:rPr>
          <w:rFonts w:cs="Arial"/>
          <w:b/>
          <w:i/>
          <w:color w:val="00B050"/>
        </w:rPr>
      </w:pPr>
      <w:r w:rsidRPr="001D0EC4">
        <w:rPr>
          <w:rFonts w:cs="Arial"/>
          <w:b/>
          <w:i/>
          <w:color w:val="00B050"/>
        </w:rPr>
        <w:t>D05A</w:t>
      </w:r>
      <w:r w:rsidRPr="001D0EC4">
        <w:rPr>
          <w:rFonts w:cs="Arial"/>
          <w:b/>
          <w:i/>
          <w:color w:val="00B050"/>
        </w:rPr>
        <w:tab/>
        <w:t xml:space="preserve"> ANTIPSORIASICOS PARA USO TOPICO</w:t>
      </w:r>
    </w:p>
    <w:p w:rsidR="00714D68" w:rsidRPr="001D0EC4" w:rsidRDefault="00714D68" w:rsidP="00714D68">
      <w:pPr>
        <w:pStyle w:val="Prrafodelista"/>
        <w:jc w:val="both"/>
        <w:rPr>
          <w:b/>
          <w:i/>
          <w:color w:val="00B050"/>
          <w:u w:val="single"/>
        </w:rPr>
      </w:pPr>
    </w:p>
    <w:p w:rsidR="00714D68" w:rsidRPr="001D0EC4" w:rsidRDefault="00714D68" w:rsidP="00714D68">
      <w:pPr>
        <w:tabs>
          <w:tab w:val="left" w:pos="1320"/>
        </w:tabs>
        <w:ind w:left="113"/>
        <w:rPr>
          <w:rFonts w:cs="Arial"/>
          <w:b/>
          <w:i/>
          <w:color w:val="00B050"/>
        </w:rPr>
      </w:pPr>
      <w:r w:rsidRPr="001D0EC4">
        <w:rPr>
          <w:rFonts w:cs="Arial"/>
          <w:b/>
          <w:i/>
          <w:color w:val="00B050"/>
        </w:rPr>
        <w:t>D05BA</w:t>
      </w:r>
      <w:r w:rsidRPr="001D0EC4">
        <w:rPr>
          <w:rFonts w:cs="Arial"/>
          <w:b/>
          <w:i/>
          <w:color w:val="00B050"/>
        </w:rPr>
        <w:tab/>
        <w:t>PSORALENOS PARA USO SISTEMICO</w:t>
      </w:r>
    </w:p>
    <w:tbl>
      <w:tblPr>
        <w:tblW w:w="9100" w:type="dxa"/>
        <w:tblCellMar>
          <w:left w:w="70" w:type="dxa"/>
          <w:right w:w="70" w:type="dxa"/>
        </w:tblCellMar>
        <w:tblLook w:val="04A0" w:firstRow="1" w:lastRow="0" w:firstColumn="1" w:lastColumn="0" w:noHBand="0" w:noVBand="1"/>
      </w:tblPr>
      <w:tblGrid>
        <w:gridCol w:w="1174"/>
        <w:gridCol w:w="7926"/>
      </w:tblGrid>
      <w:tr w:rsidR="00714D68" w:rsidRPr="002D0CF6" w:rsidTr="00C4645B">
        <w:trPr>
          <w:trHeight w:val="300"/>
        </w:trPr>
        <w:tc>
          <w:tcPr>
            <w:tcW w:w="1174" w:type="dxa"/>
            <w:tcBorders>
              <w:top w:val="nil"/>
              <w:left w:val="nil"/>
              <w:bottom w:val="nil"/>
              <w:right w:val="nil"/>
            </w:tcBorders>
            <w:shd w:val="clear" w:color="auto" w:fill="auto"/>
            <w:noWrap/>
            <w:vAlign w:val="bottom"/>
            <w:hideMark/>
          </w:tcPr>
          <w:p w:rsidR="00714D68" w:rsidRPr="00C06B48" w:rsidRDefault="00714D68" w:rsidP="00C4645B">
            <w:pPr>
              <w:spacing w:after="0" w:line="240" w:lineRule="auto"/>
              <w:rPr>
                <w:b/>
                <w:i/>
                <w:color w:val="00B050"/>
              </w:rPr>
            </w:pPr>
            <w:r w:rsidRPr="00C06B48">
              <w:rPr>
                <w:b/>
                <w:i/>
                <w:color w:val="00B050"/>
              </w:rPr>
              <w:lastRenderedPageBreak/>
              <w:t>D05BA02.A</w:t>
            </w:r>
          </w:p>
        </w:tc>
        <w:tc>
          <w:tcPr>
            <w:tcW w:w="7926" w:type="dxa"/>
            <w:tcBorders>
              <w:top w:val="nil"/>
              <w:left w:val="nil"/>
              <w:bottom w:val="nil"/>
              <w:right w:val="nil"/>
            </w:tcBorders>
            <w:shd w:val="clear" w:color="auto" w:fill="auto"/>
            <w:noWrap/>
            <w:vAlign w:val="center"/>
            <w:hideMark/>
          </w:tcPr>
          <w:p w:rsidR="00714D68" w:rsidRPr="00C06B48" w:rsidRDefault="00714D68" w:rsidP="00C4645B">
            <w:pPr>
              <w:spacing w:after="0" w:line="240" w:lineRule="auto"/>
              <w:rPr>
                <w:b/>
                <w:i/>
                <w:color w:val="00B050"/>
              </w:rPr>
            </w:pPr>
            <w:r w:rsidRPr="00C06B48">
              <w:rPr>
                <w:b/>
                <w:i/>
                <w:color w:val="00B050"/>
              </w:rPr>
              <w:t xml:space="preserve">METOXSALENO </w:t>
            </w:r>
          </w:p>
        </w:tc>
      </w:tr>
    </w:tbl>
    <w:p w:rsidR="00714D68" w:rsidRDefault="00714D68" w:rsidP="00714D68">
      <w:pPr>
        <w:pStyle w:val="Prrafodelista"/>
        <w:numPr>
          <w:ilvl w:val="0"/>
          <w:numId w:val="10"/>
        </w:numPr>
        <w:jc w:val="both"/>
      </w:pPr>
      <w:r w:rsidRPr="00B44D33">
        <w:t xml:space="preserve">Tratamiento </w:t>
      </w:r>
      <w:r>
        <w:t>P</w:t>
      </w:r>
      <w:r w:rsidRPr="00F95462">
        <w:t xml:space="preserve">soriasis en tratamiento con PUVA. </w:t>
      </w:r>
    </w:p>
    <w:p w:rsidR="00714D68" w:rsidRDefault="00714D68" w:rsidP="00714D68">
      <w:pPr>
        <w:pStyle w:val="Prrafodelista"/>
        <w:ind w:left="1440"/>
        <w:jc w:val="both"/>
      </w:pPr>
      <w:r w:rsidRPr="00A36090">
        <w:rPr>
          <w:u w:val="single"/>
        </w:rPr>
        <w:t>Dosis:</w:t>
      </w:r>
      <w:r w:rsidRPr="00F95462">
        <w:t xml:space="preserve"> 0,6 mg/kg administrados 1-2 horas antes de la terapia con PUVA.</w:t>
      </w:r>
    </w:p>
    <w:p w:rsidR="00714D68" w:rsidRDefault="00714D68" w:rsidP="00714D68">
      <w:pPr>
        <w:jc w:val="both"/>
      </w:pPr>
      <w:r w:rsidRPr="00A36090">
        <w:rPr>
          <w:u w:val="single"/>
        </w:rPr>
        <w:t>Dosis</w:t>
      </w:r>
      <w:r w:rsidRPr="00F95462">
        <w:t>: 20 mg por vía oral 2-4 antes de PUVA o loción al 1% tópica 45 minutos antes de PUVA.</w:t>
      </w:r>
    </w:p>
    <w:p w:rsidR="00714D68" w:rsidRPr="009D2A33" w:rsidRDefault="00714D68" w:rsidP="00714D68">
      <w:pPr>
        <w:tabs>
          <w:tab w:val="left" w:pos="1320"/>
        </w:tabs>
        <w:ind w:left="113"/>
        <w:rPr>
          <w:rFonts w:cs="Arial"/>
          <w:b/>
        </w:rPr>
      </w:pPr>
    </w:p>
    <w:p w:rsidR="00714D68" w:rsidRPr="001D0EC4" w:rsidRDefault="00714D68" w:rsidP="00714D68">
      <w:pPr>
        <w:tabs>
          <w:tab w:val="left" w:pos="1320"/>
        </w:tabs>
        <w:ind w:left="113"/>
        <w:rPr>
          <w:rFonts w:cs="Arial"/>
          <w:b/>
          <w:i/>
          <w:color w:val="00B050"/>
        </w:rPr>
      </w:pPr>
      <w:r w:rsidRPr="001D0EC4">
        <w:rPr>
          <w:rFonts w:cs="Arial"/>
          <w:b/>
          <w:i/>
          <w:color w:val="00B050"/>
        </w:rPr>
        <w:t>D05BB</w:t>
      </w:r>
      <w:r w:rsidRPr="001D0EC4">
        <w:rPr>
          <w:rFonts w:cs="Arial"/>
          <w:b/>
          <w:i/>
          <w:color w:val="00B050"/>
        </w:rPr>
        <w:tab/>
        <w:t>RETINOIDES PARA EL TRATAMIENTO DE LA PSORIASIS</w:t>
      </w:r>
    </w:p>
    <w:tbl>
      <w:tblPr>
        <w:tblW w:w="9090" w:type="dxa"/>
        <w:tblCellMar>
          <w:left w:w="70" w:type="dxa"/>
          <w:right w:w="70" w:type="dxa"/>
        </w:tblCellMar>
        <w:tblLook w:val="04A0" w:firstRow="1" w:lastRow="0" w:firstColumn="1" w:lastColumn="0" w:noHBand="0" w:noVBand="1"/>
      </w:tblPr>
      <w:tblGrid>
        <w:gridCol w:w="1164"/>
        <w:gridCol w:w="7926"/>
      </w:tblGrid>
      <w:tr w:rsidR="00714D68" w:rsidRPr="002D0CF6" w:rsidTr="00C4645B">
        <w:trPr>
          <w:trHeight w:val="300"/>
        </w:trPr>
        <w:tc>
          <w:tcPr>
            <w:tcW w:w="1164" w:type="dxa"/>
            <w:tcBorders>
              <w:top w:val="nil"/>
              <w:left w:val="nil"/>
              <w:bottom w:val="nil"/>
              <w:right w:val="nil"/>
            </w:tcBorders>
            <w:shd w:val="clear" w:color="auto" w:fill="auto"/>
            <w:noWrap/>
            <w:vAlign w:val="bottom"/>
            <w:hideMark/>
          </w:tcPr>
          <w:p w:rsidR="00714D68" w:rsidRPr="00C06B48" w:rsidRDefault="00714D68" w:rsidP="00C4645B">
            <w:pPr>
              <w:spacing w:after="0" w:line="240" w:lineRule="auto"/>
              <w:rPr>
                <w:b/>
                <w:i/>
                <w:color w:val="00B050"/>
              </w:rPr>
            </w:pPr>
          </w:p>
          <w:p w:rsidR="00714D68" w:rsidRPr="00C06B48" w:rsidRDefault="00714D68" w:rsidP="00C4645B">
            <w:pPr>
              <w:spacing w:after="0" w:line="240" w:lineRule="auto"/>
              <w:rPr>
                <w:b/>
                <w:i/>
                <w:color w:val="00B050"/>
              </w:rPr>
            </w:pPr>
            <w:r w:rsidRPr="00C06B48">
              <w:rPr>
                <w:b/>
                <w:i/>
                <w:color w:val="00B050"/>
              </w:rPr>
              <w:t>D05BB02.A</w:t>
            </w:r>
          </w:p>
        </w:tc>
        <w:tc>
          <w:tcPr>
            <w:tcW w:w="7926" w:type="dxa"/>
            <w:tcBorders>
              <w:top w:val="nil"/>
              <w:left w:val="nil"/>
              <w:bottom w:val="nil"/>
              <w:right w:val="nil"/>
            </w:tcBorders>
            <w:shd w:val="clear" w:color="auto" w:fill="auto"/>
            <w:noWrap/>
            <w:vAlign w:val="center"/>
            <w:hideMark/>
          </w:tcPr>
          <w:p w:rsidR="00714D68" w:rsidRPr="00C06B48" w:rsidRDefault="00714D68" w:rsidP="00C4645B">
            <w:pPr>
              <w:spacing w:after="0" w:line="240" w:lineRule="auto"/>
              <w:rPr>
                <w:b/>
                <w:i/>
                <w:color w:val="00B050"/>
              </w:rPr>
            </w:pPr>
          </w:p>
          <w:p w:rsidR="00714D68" w:rsidRPr="00C06B48" w:rsidRDefault="00714D68" w:rsidP="00C4645B">
            <w:pPr>
              <w:spacing w:after="0" w:line="240" w:lineRule="auto"/>
              <w:rPr>
                <w:b/>
                <w:i/>
                <w:color w:val="00B050"/>
              </w:rPr>
            </w:pPr>
            <w:r w:rsidRPr="00C06B48">
              <w:rPr>
                <w:b/>
                <w:i/>
                <w:color w:val="00B050"/>
              </w:rPr>
              <w:t xml:space="preserve">ACITRETINA  </w:t>
            </w:r>
          </w:p>
        </w:tc>
      </w:tr>
    </w:tbl>
    <w:p w:rsidR="00714D68" w:rsidRDefault="00714D68" w:rsidP="00714D68">
      <w:pPr>
        <w:pStyle w:val="Prrafodelista"/>
        <w:numPr>
          <w:ilvl w:val="0"/>
          <w:numId w:val="10"/>
        </w:numPr>
        <w:jc w:val="both"/>
      </w:pPr>
      <w:r w:rsidRPr="003345BA">
        <w:t xml:space="preserve">Pacientes con psoriasis severa. </w:t>
      </w:r>
    </w:p>
    <w:p w:rsidR="00714D68" w:rsidRDefault="00714D68" w:rsidP="00714D68">
      <w:pPr>
        <w:pStyle w:val="Prrafodelista"/>
        <w:ind w:left="1440"/>
        <w:jc w:val="both"/>
      </w:pPr>
      <w:r w:rsidRPr="000B3591">
        <w:rPr>
          <w:u w:val="single"/>
        </w:rPr>
        <w:t>Dosis:</w:t>
      </w:r>
      <w:r w:rsidRPr="003345BA">
        <w:t xml:space="preserve"> 25-50 mg/día en una sola toma por vía oral. </w:t>
      </w:r>
    </w:p>
    <w:p w:rsidR="00714D68" w:rsidRDefault="00714D68" w:rsidP="00714D68">
      <w:pPr>
        <w:pStyle w:val="Prrafodelista"/>
        <w:numPr>
          <w:ilvl w:val="0"/>
          <w:numId w:val="10"/>
        </w:numPr>
        <w:jc w:val="both"/>
      </w:pPr>
      <w:r w:rsidRPr="003345BA">
        <w:t xml:space="preserve">Pacientes con trastornos hereditarios de queratinización (síndrome de </w:t>
      </w:r>
      <w:proofErr w:type="spellStart"/>
      <w:r w:rsidRPr="003345BA">
        <w:t>Papillon</w:t>
      </w:r>
      <w:proofErr w:type="spellEnd"/>
      <w:r>
        <w:t xml:space="preserve"> </w:t>
      </w:r>
      <w:r w:rsidRPr="003345BA">
        <w:t xml:space="preserve">- </w:t>
      </w:r>
      <w:proofErr w:type="spellStart"/>
      <w:r w:rsidRPr="003345BA">
        <w:t>Lefevre</w:t>
      </w:r>
      <w:proofErr w:type="spellEnd"/>
      <w:r w:rsidRPr="003345BA">
        <w:t xml:space="preserve">, enfermedad de </w:t>
      </w:r>
      <w:proofErr w:type="spellStart"/>
      <w:r w:rsidRPr="003345BA">
        <w:t>Darier</w:t>
      </w:r>
      <w:proofErr w:type="spellEnd"/>
      <w:r w:rsidRPr="003345BA">
        <w:t xml:space="preserve">) </w:t>
      </w:r>
    </w:p>
    <w:p w:rsidR="00714D68" w:rsidRDefault="00714D68" w:rsidP="00714D68">
      <w:pPr>
        <w:pStyle w:val="Prrafodelista"/>
        <w:ind w:left="1440"/>
        <w:jc w:val="both"/>
      </w:pPr>
      <w:r w:rsidRPr="000B3591">
        <w:rPr>
          <w:u w:val="single"/>
        </w:rPr>
        <w:t>Dosis:</w:t>
      </w:r>
      <w:r w:rsidRPr="003345BA">
        <w:t xml:space="preserve"> 10-50 mg/día en una sola toma por vía oral</w:t>
      </w:r>
    </w:p>
    <w:p w:rsidR="00714D68" w:rsidRPr="001D0EC4" w:rsidRDefault="00714D68" w:rsidP="00C144EE">
      <w:pPr>
        <w:tabs>
          <w:tab w:val="left" w:pos="1161"/>
        </w:tabs>
        <w:ind w:left="50"/>
        <w:rPr>
          <w:rFonts w:cs="Arial"/>
          <w:b/>
          <w:i/>
          <w:color w:val="00B050"/>
        </w:rPr>
      </w:pPr>
    </w:p>
    <w:p w:rsidR="00C144EE" w:rsidRPr="001D0EC4" w:rsidRDefault="00C144EE" w:rsidP="00C144EE">
      <w:pPr>
        <w:tabs>
          <w:tab w:val="left" w:pos="1161"/>
        </w:tabs>
        <w:ind w:left="50"/>
        <w:rPr>
          <w:rFonts w:cs="Arial"/>
          <w:b/>
          <w:i/>
          <w:color w:val="00B050"/>
        </w:rPr>
      </w:pPr>
      <w:r w:rsidRPr="001D0EC4">
        <w:rPr>
          <w:rFonts w:cs="Arial"/>
          <w:b/>
          <w:i/>
          <w:color w:val="00B050"/>
        </w:rPr>
        <w:t>D05AX02</w:t>
      </w:r>
      <w:r w:rsidRPr="001D0EC4">
        <w:rPr>
          <w:rFonts w:cs="Arial"/>
          <w:b/>
          <w:i/>
          <w:color w:val="00B050"/>
        </w:rPr>
        <w:tab/>
        <w:t xml:space="preserve"> CALCIPOTRIOL  </w:t>
      </w:r>
    </w:p>
    <w:p w:rsidR="00C144EE" w:rsidRPr="009D2A33" w:rsidRDefault="00C144EE" w:rsidP="00396EBC">
      <w:pPr>
        <w:numPr>
          <w:ilvl w:val="0"/>
          <w:numId w:val="36"/>
        </w:numPr>
        <w:spacing w:after="0" w:line="240" w:lineRule="auto"/>
        <w:jc w:val="both"/>
        <w:rPr>
          <w:rFonts w:cs="Arial"/>
        </w:rPr>
      </w:pPr>
      <w:r w:rsidRPr="009D2A33">
        <w:rPr>
          <w:rFonts w:cs="Arial"/>
        </w:rPr>
        <w:t>Tratamiento tópico de psoriasis en placa en pacientes que no reciben medicación de uso sistémico.</w:t>
      </w:r>
    </w:p>
    <w:p w:rsidR="00C144EE" w:rsidRPr="009D2A33" w:rsidRDefault="00C144EE" w:rsidP="00C144EE">
      <w:pPr>
        <w:tabs>
          <w:tab w:val="num" w:pos="720"/>
        </w:tabs>
        <w:ind w:left="720" w:hanging="360"/>
        <w:jc w:val="both"/>
        <w:rPr>
          <w:rFonts w:cs="Arial"/>
        </w:rPr>
      </w:pPr>
      <w:r w:rsidRPr="009D2A33">
        <w:rPr>
          <w:rFonts w:cs="Arial"/>
          <w:u w:val="single"/>
        </w:rPr>
        <w:t>Dosis</w:t>
      </w:r>
      <w:r w:rsidRPr="009D2A33">
        <w:rPr>
          <w:rFonts w:cs="Arial"/>
        </w:rPr>
        <w:t xml:space="preserve">: variable según extensión de la lesión. </w:t>
      </w:r>
    </w:p>
    <w:p w:rsidR="00C144EE" w:rsidRPr="00B1108B" w:rsidRDefault="00C144EE" w:rsidP="00C144EE">
      <w:pPr>
        <w:tabs>
          <w:tab w:val="left" w:pos="1320"/>
        </w:tabs>
        <w:ind w:left="113"/>
        <w:rPr>
          <w:rFonts w:ascii="Verdana" w:hAnsi="Verdana" w:cs="Arial"/>
        </w:rPr>
      </w:pPr>
    </w:p>
    <w:p w:rsidR="00C144EE" w:rsidRPr="001D0EC4" w:rsidRDefault="00C144EE" w:rsidP="00C144EE">
      <w:pPr>
        <w:tabs>
          <w:tab w:val="left" w:pos="1320"/>
        </w:tabs>
        <w:ind w:left="113"/>
        <w:rPr>
          <w:rFonts w:cs="Arial"/>
          <w:b/>
          <w:i/>
          <w:color w:val="00B050"/>
        </w:rPr>
      </w:pPr>
      <w:r w:rsidRPr="001D0EC4">
        <w:rPr>
          <w:rFonts w:cs="Arial"/>
          <w:b/>
          <w:i/>
          <w:color w:val="00B050"/>
        </w:rPr>
        <w:t>D06A</w:t>
      </w:r>
      <w:r w:rsidRPr="001D0EC4">
        <w:rPr>
          <w:rFonts w:cs="Arial"/>
          <w:b/>
          <w:i/>
          <w:color w:val="00B050"/>
        </w:rPr>
        <w:tab/>
        <w:t>ANTIBIOTICOS PARA USO TOPICO</w:t>
      </w:r>
    </w:p>
    <w:p w:rsidR="00C144EE" w:rsidRPr="001D0EC4" w:rsidRDefault="00C144EE" w:rsidP="00C144EE">
      <w:pPr>
        <w:tabs>
          <w:tab w:val="left" w:pos="1320"/>
        </w:tabs>
        <w:ind w:left="113"/>
        <w:rPr>
          <w:rFonts w:cs="Arial"/>
          <w:b/>
          <w:i/>
          <w:color w:val="00B050"/>
        </w:rPr>
      </w:pPr>
      <w:r w:rsidRPr="001D0EC4">
        <w:rPr>
          <w:rFonts w:cs="Arial"/>
          <w:b/>
          <w:i/>
          <w:color w:val="00B050"/>
        </w:rPr>
        <w:t>D06AX09</w:t>
      </w:r>
      <w:r w:rsidRPr="001D0EC4">
        <w:rPr>
          <w:rFonts w:cs="Arial"/>
          <w:b/>
          <w:i/>
          <w:color w:val="00B050"/>
        </w:rPr>
        <w:tab/>
        <w:t xml:space="preserve">MUPIROCINA </w:t>
      </w:r>
    </w:p>
    <w:p w:rsidR="00C144EE" w:rsidRPr="001D0EC4" w:rsidRDefault="00C144EE" w:rsidP="00396EBC">
      <w:pPr>
        <w:numPr>
          <w:ilvl w:val="0"/>
          <w:numId w:val="36"/>
        </w:numPr>
        <w:spacing w:after="0" w:line="240" w:lineRule="auto"/>
        <w:jc w:val="both"/>
        <w:rPr>
          <w:snapToGrid w:val="0"/>
        </w:rPr>
      </w:pPr>
      <w:r w:rsidRPr="001D0EC4">
        <w:rPr>
          <w:snapToGrid w:val="0"/>
        </w:rPr>
        <w:t xml:space="preserve">Uso tópico en lesiones </w:t>
      </w:r>
      <w:proofErr w:type="spellStart"/>
      <w:r w:rsidRPr="001D0EC4">
        <w:rPr>
          <w:snapToGrid w:val="0"/>
        </w:rPr>
        <w:t>impetiginizadas</w:t>
      </w:r>
      <w:proofErr w:type="spellEnd"/>
      <w:r w:rsidRPr="001D0EC4">
        <w:rPr>
          <w:snapToGrid w:val="0"/>
        </w:rPr>
        <w:t xml:space="preserve"> donde se sospecha o documenta infección por estafilococo </w:t>
      </w:r>
      <w:proofErr w:type="spellStart"/>
      <w:r w:rsidRPr="001D0EC4">
        <w:rPr>
          <w:snapToGrid w:val="0"/>
        </w:rPr>
        <w:t>aureus</w:t>
      </w:r>
      <w:proofErr w:type="spellEnd"/>
      <w:r w:rsidRPr="001D0EC4">
        <w:rPr>
          <w:snapToGrid w:val="0"/>
        </w:rPr>
        <w:t>.</w:t>
      </w:r>
    </w:p>
    <w:p w:rsidR="00C144EE" w:rsidRPr="001D0EC4" w:rsidRDefault="00C144EE" w:rsidP="00396EBC">
      <w:pPr>
        <w:numPr>
          <w:ilvl w:val="0"/>
          <w:numId w:val="36"/>
        </w:numPr>
        <w:spacing w:after="0" w:line="240" w:lineRule="auto"/>
        <w:jc w:val="both"/>
        <w:rPr>
          <w:snapToGrid w:val="0"/>
        </w:rPr>
      </w:pPr>
      <w:r w:rsidRPr="001D0EC4">
        <w:rPr>
          <w:snapToGrid w:val="0"/>
        </w:rPr>
        <w:t xml:space="preserve">Uso tópico en lesiones </w:t>
      </w:r>
      <w:proofErr w:type="spellStart"/>
      <w:r w:rsidRPr="001D0EC4">
        <w:rPr>
          <w:snapToGrid w:val="0"/>
        </w:rPr>
        <w:t>impetiginizadas</w:t>
      </w:r>
      <w:proofErr w:type="spellEnd"/>
      <w:r w:rsidRPr="001D0EC4">
        <w:rPr>
          <w:snapToGrid w:val="0"/>
        </w:rPr>
        <w:t xml:space="preserve"> por estreptococo </w:t>
      </w:r>
      <w:proofErr w:type="spellStart"/>
      <w:r w:rsidRPr="001D0EC4">
        <w:rPr>
          <w:snapToGrid w:val="0"/>
        </w:rPr>
        <w:t>piógenes</w:t>
      </w:r>
      <w:proofErr w:type="spellEnd"/>
      <w:r w:rsidRPr="001D0EC4">
        <w:rPr>
          <w:snapToGrid w:val="0"/>
        </w:rPr>
        <w:t>.</w:t>
      </w:r>
    </w:p>
    <w:p w:rsidR="00C144EE" w:rsidRPr="001D0EC4" w:rsidRDefault="00C144EE" w:rsidP="00396EBC">
      <w:pPr>
        <w:numPr>
          <w:ilvl w:val="0"/>
          <w:numId w:val="36"/>
        </w:numPr>
        <w:spacing w:after="0" w:line="240" w:lineRule="auto"/>
        <w:jc w:val="both"/>
        <w:rPr>
          <w:snapToGrid w:val="0"/>
        </w:rPr>
      </w:pPr>
      <w:r w:rsidRPr="001D0EC4">
        <w:rPr>
          <w:snapToGrid w:val="0"/>
        </w:rPr>
        <w:t xml:space="preserve">Colonización nasal de estafilococo </w:t>
      </w:r>
      <w:proofErr w:type="spellStart"/>
      <w:r w:rsidRPr="001D0EC4">
        <w:rPr>
          <w:snapToGrid w:val="0"/>
        </w:rPr>
        <w:t>meticilino</w:t>
      </w:r>
      <w:proofErr w:type="spellEnd"/>
      <w:r w:rsidRPr="001D0EC4">
        <w:rPr>
          <w:snapToGrid w:val="0"/>
        </w:rPr>
        <w:t>-resistente.</w:t>
      </w:r>
    </w:p>
    <w:p w:rsidR="00C144EE" w:rsidRDefault="00C144EE" w:rsidP="00C144EE">
      <w:pPr>
        <w:tabs>
          <w:tab w:val="num" w:pos="720"/>
        </w:tabs>
        <w:ind w:left="720" w:hanging="360"/>
        <w:jc w:val="both"/>
        <w:rPr>
          <w:snapToGrid w:val="0"/>
        </w:rPr>
      </w:pPr>
      <w:r w:rsidRPr="001D0EC4">
        <w:rPr>
          <w:snapToGrid w:val="0"/>
          <w:u w:val="single"/>
        </w:rPr>
        <w:t>Dosis</w:t>
      </w:r>
      <w:r w:rsidRPr="001D0EC4">
        <w:rPr>
          <w:snapToGrid w:val="0"/>
        </w:rPr>
        <w:t xml:space="preserve">: aplicación tópica al 2%, 2 o 3 veces al día por 3-5 días. </w:t>
      </w:r>
    </w:p>
    <w:p w:rsidR="00714D68" w:rsidRPr="001D0EC4" w:rsidRDefault="00714D68" w:rsidP="00C144EE">
      <w:pPr>
        <w:tabs>
          <w:tab w:val="num" w:pos="720"/>
        </w:tabs>
        <w:ind w:left="720" w:hanging="360"/>
        <w:jc w:val="both"/>
        <w:rPr>
          <w:snapToGrid w:val="0"/>
        </w:rPr>
      </w:pPr>
    </w:p>
    <w:p w:rsidR="00714D68" w:rsidRPr="00714D68" w:rsidRDefault="00714D68" w:rsidP="00714D68">
      <w:pPr>
        <w:tabs>
          <w:tab w:val="left" w:pos="1161"/>
        </w:tabs>
        <w:ind w:left="50"/>
        <w:rPr>
          <w:rFonts w:cs="Arial"/>
          <w:b/>
          <w:i/>
          <w:color w:val="00B050"/>
        </w:rPr>
      </w:pPr>
      <w:r w:rsidRPr="00714D68">
        <w:rPr>
          <w:rFonts w:cs="Arial"/>
          <w:b/>
          <w:i/>
          <w:color w:val="00B050"/>
        </w:rPr>
        <w:t>D06B</w:t>
      </w:r>
      <w:r w:rsidRPr="00714D68">
        <w:rPr>
          <w:rFonts w:cs="Arial"/>
          <w:b/>
          <w:i/>
          <w:color w:val="00B050"/>
        </w:rPr>
        <w:tab/>
        <w:t>QUIMIOTERAPICOS PARA USO TOPICO</w:t>
      </w:r>
    </w:p>
    <w:p w:rsidR="00714D68" w:rsidRPr="00714D68" w:rsidRDefault="00714D68" w:rsidP="00714D68">
      <w:pPr>
        <w:tabs>
          <w:tab w:val="left" w:pos="1161"/>
        </w:tabs>
        <w:ind w:left="50"/>
        <w:rPr>
          <w:rFonts w:cs="Arial"/>
          <w:b/>
          <w:i/>
          <w:color w:val="00B050"/>
        </w:rPr>
      </w:pPr>
      <w:r w:rsidRPr="00714D68">
        <w:rPr>
          <w:rFonts w:cs="Arial"/>
          <w:b/>
          <w:i/>
          <w:color w:val="00B050"/>
        </w:rPr>
        <w:t>D06BB</w:t>
      </w:r>
      <w:r w:rsidRPr="00714D68">
        <w:rPr>
          <w:rFonts w:cs="Arial"/>
          <w:b/>
          <w:i/>
          <w:color w:val="00B050"/>
        </w:rPr>
        <w:tab/>
        <w:t>ANTIVIRALES</w:t>
      </w:r>
    </w:p>
    <w:p w:rsidR="00714D68" w:rsidRPr="00714D68" w:rsidRDefault="00714D68" w:rsidP="00714D68">
      <w:pPr>
        <w:tabs>
          <w:tab w:val="left" w:pos="1161"/>
        </w:tabs>
        <w:ind w:left="50"/>
        <w:rPr>
          <w:rFonts w:cs="Arial"/>
          <w:b/>
          <w:i/>
          <w:color w:val="00B050"/>
        </w:rPr>
      </w:pPr>
      <w:r w:rsidRPr="00714D68">
        <w:rPr>
          <w:rFonts w:cs="Arial"/>
          <w:b/>
          <w:i/>
          <w:color w:val="00B050"/>
        </w:rPr>
        <w:t>D06BB10</w:t>
      </w:r>
      <w:r w:rsidRPr="00714D68">
        <w:rPr>
          <w:rFonts w:cs="Arial"/>
          <w:b/>
          <w:i/>
          <w:color w:val="00B050"/>
        </w:rPr>
        <w:tab/>
        <w:t xml:space="preserve">IMIQUIMOD </w:t>
      </w:r>
    </w:p>
    <w:p w:rsidR="00714D68" w:rsidRPr="00714D68" w:rsidRDefault="00714D68" w:rsidP="00396EBC">
      <w:pPr>
        <w:numPr>
          <w:ilvl w:val="0"/>
          <w:numId w:val="76"/>
        </w:numPr>
        <w:spacing w:after="0" w:line="240" w:lineRule="auto"/>
        <w:jc w:val="both"/>
        <w:rPr>
          <w:rFonts w:cs="Arial"/>
        </w:rPr>
      </w:pPr>
      <w:r w:rsidRPr="00714D68">
        <w:rPr>
          <w:rFonts w:cs="Arial"/>
        </w:rPr>
        <w:t>Fármaco de uso tópico de elección en verrugas genitales (condilomas acuminados).</w:t>
      </w:r>
    </w:p>
    <w:p w:rsidR="00714D68" w:rsidRPr="00714D68" w:rsidRDefault="00714D68" w:rsidP="00714D68">
      <w:pPr>
        <w:tabs>
          <w:tab w:val="num" w:pos="720"/>
        </w:tabs>
        <w:ind w:left="720" w:hanging="360"/>
        <w:jc w:val="both"/>
        <w:rPr>
          <w:rFonts w:cs="Arial"/>
        </w:rPr>
      </w:pPr>
      <w:r w:rsidRPr="00714D68">
        <w:rPr>
          <w:rFonts w:cs="Arial"/>
          <w:u w:val="single"/>
        </w:rPr>
        <w:t>Dosis</w:t>
      </w:r>
      <w:r w:rsidRPr="00714D68">
        <w:rPr>
          <w:rFonts w:cs="Arial"/>
        </w:rPr>
        <w:t>: crema al 5% para aplicar 2 o 3 veces al  día por 16 semanas.</w:t>
      </w:r>
    </w:p>
    <w:p w:rsidR="00EE2FD4" w:rsidRPr="00EE2FD4" w:rsidRDefault="00EE2FD4" w:rsidP="00EE2FD4">
      <w:pPr>
        <w:tabs>
          <w:tab w:val="left" w:pos="1161"/>
        </w:tabs>
        <w:ind w:left="50"/>
        <w:rPr>
          <w:rFonts w:cs="Arial"/>
          <w:b/>
          <w:bCs/>
          <w:i/>
          <w:color w:val="00B050"/>
        </w:rPr>
      </w:pPr>
      <w:r w:rsidRPr="00EE2FD4">
        <w:rPr>
          <w:rFonts w:cs="Arial"/>
          <w:b/>
          <w:i/>
          <w:color w:val="00B050"/>
        </w:rPr>
        <w:t>D07</w:t>
      </w:r>
      <w:r w:rsidRPr="00EE2FD4">
        <w:rPr>
          <w:rFonts w:cs="Arial"/>
          <w:b/>
          <w:i/>
          <w:color w:val="00B050"/>
        </w:rPr>
        <w:tab/>
      </w:r>
      <w:r w:rsidRPr="00EE2FD4">
        <w:rPr>
          <w:rFonts w:cs="Arial"/>
          <w:b/>
          <w:bCs/>
          <w:i/>
          <w:color w:val="00B050"/>
        </w:rPr>
        <w:t>PREPARACIONES DERMATOLOGICAS CON CORTICOIDES</w:t>
      </w:r>
    </w:p>
    <w:p w:rsidR="00EE2FD4" w:rsidRPr="00EE2FD4" w:rsidRDefault="00EE2FD4" w:rsidP="00EE2FD4">
      <w:pPr>
        <w:tabs>
          <w:tab w:val="left" w:pos="1161"/>
        </w:tabs>
        <w:ind w:left="50"/>
        <w:rPr>
          <w:rFonts w:cs="Arial"/>
          <w:b/>
          <w:i/>
          <w:color w:val="00B050"/>
        </w:rPr>
      </w:pPr>
      <w:r w:rsidRPr="00EE2FD4">
        <w:rPr>
          <w:rFonts w:cs="Arial"/>
          <w:b/>
          <w:i/>
          <w:color w:val="00B050"/>
        </w:rPr>
        <w:t>D07A</w:t>
      </w:r>
      <w:r w:rsidRPr="00EE2FD4">
        <w:rPr>
          <w:rFonts w:cs="Arial"/>
          <w:b/>
          <w:i/>
          <w:color w:val="00B050"/>
        </w:rPr>
        <w:tab/>
        <w:t>CORTICOIDES</w:t>
      </w:r>
    </w:p>
    <w:p w:rsidR="00EE2FD4" w:rsidRPr="00EE2FD4" w:rsidRDefault="00EE2FD4" w:rsidP="00EE2FD4">
      <w:pPr>
        <w:tabs>
          <w:tab w:val="left" w:pos="1161"/>
        </w:tabs>
        <w:ind w:left="50"/>
        <w:rPr>
          <w:rFonts w:cs="Arial"/>
          <w:b/>
          <w:i/>
          <w:color w:val="00B050"/>
        </w:rPr>
      </w:pPr>
      <w:r w:rsidRPr="00EE2FD4">
        <w:rPr>
          <w:rFonts w:cs="Arial"/>
          <w:b/>
          <w:i/>
          <w:color w:val="00B050"/>
        </w:rPr>
        <w:t xml:space="preserve">D07AC13  MOMETASONA </w:t>
      </w:r>
    </w:p>
    <w:p w:rsidR="00EE2FD4" w:rsidRPr="00EE2FD4" w:rsidRDefault="00EE2FD4" w:rsidP="00396EBC">
      <w:pPr>
        <w:numPr>
          <w:ilvl w:val="0"/>
          <w:numId w:val="76"/>
        </w:numPr>
        <w:spacing w:after="0" w:line="240" w:lineRule="auto"/>
        <w:jc w:val="both"/>
        <w:rPr>
          <w:rFonts w:cs="Arial"/>
        </w:rPr>
      </w:pPr>
      <w:r w:rsidRPr="00EE2FD4">
        <w:rPr>
          <w:rFonts w:cs="Arial"/>
        </w:rPr>
        <w:lastRenderedPageBreak/>
        <w:t>Corticoide de uso tópico de alternativa (ante fallo o intolerancia) para la dermatitis atópica.</w:t>
      </w:r>
    </w:p>
    <w:p w:rsidR="00EE2FD4" w:rsidRPr="00EE2FD4" w:rsidRDefault="00EE2FD4" w:rsidP="00EE2FD4">
      <w:pPr>
        <w:ind w:left="360"/>
        <w:jc w:val="both"/>
        <w:rPr>
          <w:rFonts w:cs="Arial"/>
        </w:rPr>
      </w:pPr>
      <w:r w:rsidRPr="00EE2FD4">
        <w:rPr>
          <w:rFonts w:cs="Arial"/>
          <w:u w:val="single"/>
        </w:rPr>
        <w:t>Dosis</w:t>
      </w:r>
      <w:r w:rsidRPr="00EE2FD4">
        <w:rPr>
          <w:rFonts w:cs="Arial"/>
        </w:rPr>
        <w:t>: variable según uso clínico.</w:t>
      </w:r>
    </w:p>
    <w:p w:rsidR="00EE2FD4" w:rsidRPr="00EE2FD4" w:rsidRDefault="00EE2FD4" w:rsidP="00EE2FD4">
      <w:pPr>
        <w:tabs>
          <w:tab w:val="left" w:pos="1161"/>
        </w:tabs>
        <w:ind w:left="50"/>
        <w:rPr>
          <w:rFonts w:cs="Arial"/>
          <w:b/>
          <w:i/>
          <w:color w:val="00B050"/>
        </w:rPr>
      </w:pPr>
    </w:p>
    <w:p w:rsidR="00EE2FD4" w:rsidRPr="00EE2FD4" w:rsidRDefault="00EE2FD4" w:rsidP="00EE2FD4">
      <w:pPr>
        <w:tabs>
          <w:tab w:val="left" w:pos="1161"/>
        </w:tabs>
        <w:ind w:left="50"/>
        <w:rPr>
          <w:rFonts w:cs="Arial"/>
          <w:b/>
          <w:i/>
          <w:color w:val="00B050"/>
        </w:rPr>
      </w:pPr>
      <w:r w:rsidRPr="00EE2FD4">
        <w:rPr>
          <w:rFonts w:cs="Arial"/>
          <w:b/>
          <w:i/>
          <w:color w:val="00B050"/>
        </w:rPr>
        <w:t xml:space="preserve">D07AC17  FLUTICASONA </w:t>
      </w:r>
    </w:p>
    <w:p w:rsidR="00EE2FD4" w:rsidRPr="00EE2FD4" w:rsidRDefault="00EE2FD4" w:rsidP="00396EBC">
      <w:pPr>
        <w:numPr>
          <w:ilvl w:val="0"/>
          <w:numId w:val="76"/>
        </w:numPr>
        <w:spacing w:after="0" w:line="240" w:lineRule="auto"/>
        <w:jc w:val="both"/>
        <w:rPr>
          <w:rFonts w:cs="Arial"/>
        </w:rPr>
      </w:pPr>
      <w:r w:rsidRPr="00EE2FD4">
        <w:rPr>
          <w:rFonts w:cs="Arial"/>
        </w:rPr>
        <w:t>Corticoide de uso tópico de alternativa (fallo o intolerancia) para el tratamiento de enfermedades de la piel que se benefician con el uso tópico de esteroides.</w:t>
      </w:r>
    </w:p>
    <w:p w:rsidR="00EE2FD4" w:rsidRPr="00EE2FD4" w:rsidRDefault="00EE2FD4" w:rsidP="00EE2FD4">
      <w:pPr>
        <w:tabs>
          <w:tab w:val="left" w:pos="1161"/>
        </w:tabs>
        <w:ind w:left="360"/>
        <w:rPr>
          <w:rFonts w:cs="Arial"/>
        </w:rPr>
      </w:pPr>
      <w:r w:rsidRPr="00EE2FD4">
        <w:rPr>
          <w:rFonts w:cs="Arial"/>
          <w:u w:val="single"/>
        </w:rPr>
        <w:t>Dosis</w:t>
      </w:r>
      <w:r w:rsidRPr="00EE2FD4">
        <w:rPr>
          <w:rFonts w:cs="Arial"/>
        </w:rPr>
        <w:t>: variable según uso clínico</w:t>
      </w:r>
    </w:p>
    <w:p w:rsidR="00EE2FD4" w:rsidRPr="00EE2FD4" w:rsidRDefault="00EE2FD4" w:rsidP="00EE2FD4">
      <w:pPr>
        <w:tabs>
          <w:tab w:val="left" w:pos="1161"/>
        </w:tabs>
        <w:ind w:left="50"/>
        <w:rPr>
          <w:rFonts w:cs="Arial"/>
          <w:b/>
          <w:i/>
          <w:color w:val="00B050"/>
        </w:rPr>
      </w:pPr>
    </w:p>
    <w:p w:rsidR="00EE2FD4" w:rsidRPr="00EE2FD4" w:rsidRDefault="00EE2FD4" w:rsidP="00EE2FD4">
      <w:pPr>
        <w:tabs>
          <w:tab w:val="left" w:pos="1161"/>
        </w:tabs>
        <w:ind w:left="50"/>
        <w:rPr>
          <w:rFonts w:cs="Arial"/>
          <w:b/>
          <w:i/>
          <w:color w:val="00B050"/>
        </w:rPr>
      </w:pPr>
      <w:r w:rsidRPr="00EE2FD4">
        <w:rPr>
          <w:rFonts w:cs="Arial"/>
          <w:b/>
          <w:i/>
          <w:color w:val="00B050"/>
        </w:rPr>
        <w:t>D07AD</w:t>
      </w:r>
      <w:r w:rsidRPr="00EE2FD4">
        <w:rPr>
          <w:rFonts w:cs="Arial"/>
          <w:b/>
          <w:i/>
          <w:color w:val="00B050"/>
        </w:rPr>
        <w:tab/>
        <w:t>CORTICOIDES (GRUPO IV)</w:t>
      </w:r>
    </w:p>
    <w:p w:rsidR="00EE2FD4" w:rsidRPr="00EE2FD4" w:rsidRDefault="00EE2FD4" w:rsidP="00EE2FD4">
      <w:pPr>
        <w:tabs>
          <w:tab w:val="left" w:pos="1161"/>
        </w:tabs>
        <w:ind w:left="50"/>
        <w:rPr>
          <w:rFonts w:cs="Arial"/>
          <w:b/>
          <w:i/>
          <w:color w:val="00B050"/>
        </w:rPr>
      </w:pPr>
      <w:r w:rsidRPr="00EE2FD4">
        <w:rPr>
          <w:rFonts w:cs="Arial"/>
          <w:b/>
          <w:i/>
          <w:color w:val="00B050"/>
        </w:rPr>
        <w:t>D07AD01  CLOBETASOL PROPIONATO</w:t>
      </w:r>
    </w:p>
    <w:p w:rsidR="00EE2FD4" w:rsidRPr="00EE2FD4" w:rsidRDefault="00EE2FD4" w:rsidP="00396EBC">
      <w:pPr>
        <w:numPr>
          <w:ilvl w:val="0"/>
          <w:numId w:val="76"/>
        </w:numPr>
        <w:spacing w:after="0" w:line="240" w:lineRule="auto"/>
        <w:jc w:val="both"/>
        <w:rPr>
          <w:rFonts w:cs="Arial"/>
        </w:rPr>
      </w:pPr>
      <w:r w:rsidRPr="00EE2FD4">
        <w:rPr>
          <w:rFonts w:cs="Arial"/>
        </w:rPr>
        <w:t>Alternativa a los esteroides incluidos para pacientes con dermatitis atópica y psoriasis en tratamientos que no deben superar los 3 meses.</w:t>
      </w:r>
    </w:p>
    <w:p w:rsidR="00EE2FD4" w:rsidRPr="00EE2FD4" w:rsidRDefault="00EE2FD4" w:rsidP="00EE2FD4">
      <w:pPr>
        <w:tabs>
          <w:tab w:val="num" w:pos="720"/>
        </w:tabs>
        <w:ind w:left="720" w:hanging="360"/>
        <w:jc w:val="both"/>
        <w:rPr>
          <w:rFonts w:cs="Arial"/>
        </w:rPr>
      </w:pPr>
      <w:r w:rsidRPr="00EE2FD4">
        <w:rPr>
          <w:rFonts w:cs="Arial"/>
          <w:u w:val="single"/>
        </w:rPr>
        <w:t>Dosis</w:t>
      </w:r>
      <w:r w:rsidRPr="00EE2FD4">
        <w:rPr>
          <w:rFonts w:cs="Arial"/>
        </w:rPr>
        <w:t>: variable según uso clínico.</w:t>
      </w:r>
    </w:p>
    <w:p w:rsidR="00EE2FD4" w:rsidRPr="00B1108B" w:rsidRDefault="00EE2FD4" w:rsidP="00EE2FD4">
      <w:pPr>
        <w:tabs>
          <w:tab w:val="left" w:pos="1161"/>
        </w:tabs>
        <w:ind w:left="50"/>
        <w:rPr>
          <w:rFonts w:ascii="Verdana" w:hAnsi="Verdana" w:cs="Arial"/>
        </w:rPr>
      </w:pPr>
    </w:p>
    <w:tbl>
      <w:tblPr>
        <w:tblW w:w="9100" w:type="dxa"/>
        <w:tblCellMar>
          <w:left w:w="70" w:type="dxa"/>
          <w:right w:w="70" w:type="dxa"/>
        </w:tblCellMar>
        <w:tblLook w:val="04A0" w:firstRow="1" w:lastRow="0" w:firstColumn="1" w:lastColumn="0" w:noHBand="0" w:noVBand="1"/>
      </w:tblPr>
      <w:tblGrid>
        <w:gridCol w:w="1174"/>
        <w:gridCol w:w="7926"/>
      </w:tblGrid>
      <w:tr w:rsidR="002B075F" w:rsidRPr="002D0CF6" w:rsidTr="001F2FAE">
        <w:trPr>
          <w:trHeight w:val="300"/>
        </w:trPr>
        <w:tc>
          <w:tcPr>
            <w:tcW w:w="1174" w:type="dxa"/>
            <w:tcBorders>
              <w:top w:val="nil"/>
              <w:left w:val="nil"/>
              <w:bottom w:val="nil"/>
              <w:right w:val="nil"/>
            </w:tcBorders>
            <w:shd w:val="clear" w:color="auto" w:fill="auto"/>
            <w:noWrap/>
            <w:vAlign w:val="bottom"/>
            <w:hideMark/>
          </w:tcPr>
          <w:p w:rsidR="002B075F" w:rsidRPr="00C06B48" w:rsidRDefault="002B075F" w:rsidP="00B90C9A">
            <w:pPr>
              <w:spacing w:after="0" w:line="240" w:lineRule="auto"/>
              <w:rPr>
                <w:b/>
                <w:i/>
                <w:color w:val="00B050"/>
              </w:rPr>
            </w:pPr>
            <w:r w:rsidRPr="00C06B48">
              <w:rPr>
                <w:b/>
                <w:i/>
                <w:color w:val="00B050"/>
              </w:rPr>
              <w:t>D10BA01.A</w:t>
            </w:r>
          </w:p>
        </w:tc>
        <w:tc>
          <w:tcPr>
            <w:tcW w:w="7926" w:type="dxa"/>
            <w:tcBorders>
              <w:top w:val="nil"/>
              <w:left w:val="nil"/>
              <w:bottom w:val="nil"/>
              <w:right w:val="nil"/>
            </w:tcBorders>
            <w:shd w:val="clear" w:color="auto" w:fill="auto"/>
            <w:noWrap/>
            <w:vAlign w:val="center"/>
            <w:hideMark/>
          </w:tcPr>
          <w:p w:rsidR="002B075F" w:rsidRPr="00C06B48" w:rsidRDefault="002B075F" w:rsidP="00B90C9A">
            <w:pPr>
              <w:spacing w:after="0" w:line="240" w:lineRule="auto"/>
              <w:rPr>
                <w:b/>
                <w:i/>
                <w:color w:val="00B050"/>
              </w:rPr>
            </w:pPr>
            <w:r w:rsidRPr="00C06B48">
              <w:rPr>
                <w:b/>
                <w:i/>
                <w:color w:val="00B050"/>
              </w:rPr>
              <w:t xml:space="preserve">ISOTRETINOINA </w:t>
            </w:r>
            <w:r w:rsidR="001F2FAE" w:rsidRPr="00C06B48">
              <w:rPr>
                <w:b/>
                <w:i/>
                <w:color w:val="00B050"/>
              </w:rPr>
              <w:t xml:space="preserve">– USO SISTEMICO </w:t>
            </w:r>
          </w:p>
        </w:tc>
      </w:tr>
    </w:tbl>
    <w:p w:rsidR="001F2FAE" w:rsidRDefault="001F2FAE" w:rsidP="005A466E">
      <w:pPr>
        <w:pStyle w:val="Prrafodelista"/>
        <w:numPr>
          <w:ilvl w:val="0"/>
          <w:numId w:val="10"/>
        </w:numPr>
        <w:jc w:val="both"/>
      </w:pPr>
      <w:r w:rsidRPr="00A01B23">
        <w:t xml:space="preserve">Pacientes con </w:t>
      </w:r>
      <w:r>
        <w:t>formas graves de acné (noduloquistico</w:t>
      </w:r>
      <w:r w:rsidR="00DA0F36">
        <w:t xml:space="preserve"> o conglobado) con riesgo de producir cicatrices permanentes y/o con fallo a ATM sistémicos y tratamiento tópico. </w:t>
      </w:r>
    </w:p>
    <w:p w:rsidR="001F2FAE" w:rsidRDefault="001F2FAE" w:rsidP="005A466E">
      <w:pPr>
        <w:pStyle w:val="Prrafodelista"/>
        <w:numPr>
          <w:ilvl w:val="0"/>
          <w:numId w:val="10"/>
        </w:numPr>
        <w:jc w:val="both"/>
        <w:rPr>
          <w:u w:val="single"/>
        </w:rPr>
      </w:pPr>
      <w:r w:rsidRPr="00C219D2">
        <w:rPr>
          <w:u w:val="single"/>
        </w:rPr>
        <w:t xml:space="preserve">Dosis: </w:t>
      </w:r>
      <w:r w:rsidRPr="00C219D2">
        <w:t>0,5-2mg/kg/día en 2 tomas por vía oral por 15-20 semanas.</w:t>
      </w:r>
      <w:r w:rsidRPr="00C219D2">
        <w:rPr>
          <w:u w:val="single"/>
        </w:rPr>
        <w:t xml:space="preserve"> </w:t>
      </w:r>
    </w:p>
    <w:p w:rsidR="001F2FAE" w:rsidRDefault="001F2FAE" w:rsidP="001F2FAE">
      <w:pPr>
        <w:pStyle w:val="Prrafodelista"/>
        <w:ind w:left="1440"/>
        <w:jc w:val="both"/>
      </w:pPr>
      <w:r w:rsidRPr="00A01B23">
        <w:rPr>
          <w:u w:val="single"/>
        </w:rPr>
        <w:t>Importante:</w:t>
      </w:r>
      <w:r w:rsidRPr="00A01B23">
        <w:t xml:space="preserve"> evitar su uso durante el embarazo, porque presenta efectos                     teratogénicos</w:t>
      </w:r>
      <w:r>
        <w:t>.</w:t>
      </w:r>
    </w:p>
    <w:p w:rsidR="0077151F" w:rsidRPr="0077151F" w:rsidRDefault="0077151F" w:rsidP="0077151F">
      <w:pPr>
        <w:jc w:val="both"/>
        <w:rPr>
          <w:b/>
          <w:i/>
          <w:color w:val="00B050"/>
          <w:lang w:val="pt-BR"/>
        </w:rPr>
      </w:pPr>
      <w:r w:rsidRPr="002144A1">
        <w:rPr>
          <w:b/>
          <w:i/>
          <w:color w:val="00B050"/>
          <w:lang w:val="pt-BR"/>
        </w:rPr>
        <w:t>D10</w:t>
      </w:r>
      <w:r>
        <w:rPr>
          <w:b/>
          <w:i/>
          <w:color w:val="00B050"/>
          <w:lang w:val="pt-BR"/>
        </w:rPr>
        <w:t>BA</w:t>
      </w:r>
      <w:r w:rsidRPr="0077151F">
        <w:rPr>
          <w:b/>
          <w:i/>
          <w:color w:val="00B050"/>
          <w:lang w:val="pt-BR"/>
        </w:rPr>
        <w:t>0</w:t>
      </w:r>
      <w:r w:rsidR="002B075F">
        <w:rPr>
          <w:b/>
          <w:i/>
          <w:color w:val="00B050"/>
          <w:lang w:val="pt-BR"/>
        </w:rPr>
        <w:t>4</w:t>
      </w:r>
      <w:r>
        <w:rPr>
          <w:b/>
          <w:i/>
          <w:color w:val="00B050"/>
          <w:lang w:val="pt-BR"/>
        </w:rPr>
        <w:t xml:space="preserve"> ISOTRETINOINA</w:t>
      </w:r>
      <w:r w:rsidRPr="0077151F">
        <w:rPr>
          <w:b/>
          <w:i/>
          <w:color w:val="00B050"/>
          <w:lang w:val="pt-BR"/>
        </w:rPr>
        <w:t xml:space="preserve"> </w:t>
      </w:r>
      <w:r w:rsidR="001F2FAE">
        <w:rPr>
          <w:b/>
          <w:i/>
          <w:color w:val="00B050"/>
          <w:lang w:val="pt-BR"/>
        </w:rPr>
        <w:t xml:space="preserve">– USO TOPICO </w:t>
      </w:r>
    </w:p>
    <w:p w:rsidR="001F2FAE" w:rsidRDefault="001F2FAE" w:rsidP="005A466E">
      <w:pPr>
        <w:pStyle w:val="Prrafodelista"/>
        <w:numPr>
          <w:ilvl w:val="0"/>
          <w:numId w:val="10"/>
        </w:numPr>
        <w:jc w:val="both"/>
      </w:pPr>
      <w:r w:rsidRPr="00A01B23">
        <w:t xml:space="preserve">Pacientes con acné vulgar leve o moderado en tratamiento tópico. </w:t>
      </w:r>
    </w:p>
    <w:p w:rsidR="001F2FAE" w:rsidRDefault="001F2FAE" w:rsidP="001F2FAE">
      <w:pPr>
        <w:pStyle w:val="Prrafodelista"/>
        <w:ind w:left="1440"/>
        <w:jc w:val="both"/>
      </w:pPr>
      <w:r w:rsidRPr="00A01B23">
        <w:rPr>
          <w:u w:val="single"/>
        </w:rPr>
        <w:t>Dosis:</w:t>
      </w:r>
      <w:r w:rsidRPr="00A01B23">
        <w:t xml:space="preserve"> gel 0,05 % en 2 </w:t>
      </w:r>
      <w:r w:rsidR="00980F47">
        <w:t>aplicaciones diarias p</w:t>
      </w:r>
      <w:r w:rsidRPr="00A01B23">
        <w:t xml:space="preserve">or 15-20 semanas. </w:t>
      </w:r>
    </w:p>
    <w:p w:rsidR="001F2FAE" w:rsidRDefault="001F2FAE" w:rsidP="001F2FAE">
      <w:pPr>
        <w:pStyle w:val="Prrafodelista"/>
        <w:ind w:left="1440"/>
        <w:jc w:val="both"/>
      </w:pPr>
      <w:r w:rsidRPr="00A01B23">
        <w:rPr>
          <w:u w:val="single"/>
        </w:rPr>
        <w:t>Importante:</w:t>
      </w:r>
      <w:r w:rsidRPr="00A01B23">
        <w:t xml:space="preserve"> evitar su uso durante el embarazo</w:t>
      </w:r>
      <w:r w:rsidR="00980F47">
        <w:t xml:space="preserve">, porque su seguridad no esta debidamente establecida. </w:t>
      </w:r>
    </w:p>
    <w:p w:rsidR="000857B4" w:rsidRPr="000857B4" w:rsidRDefault="000857B4" w:rsidP="000857B4">
      <w:pPr>
        <w:tabs>
          <w:tab w:val="left" w:pos="1320"/>
        </w:tabs>
        <w:ind w:left="113"/>
        <w:rPr>
          <w:rFonts w:cs="Arial"/>
          <w:b/>
          <w:i/>
          <w:color w:val="00B050"/>
        </w:rPr>
      </w:pPr>
      <w:r w:rsidRPr="000857B4">
        <w:rPr>
          <w:rFonts w:cs="Arial"/>
          <w:b/>
          <w:i/>
          <w:color w:val="00B050"/>
        </w:rPr>
        <w:t>G02CA</w:t>
      </w:r>
      <w:r w:rsidRPr="000857B4">
        <w:rPr>
          <w:rFonts w:cs="Arial"/>
          <w:b/>
          <w:i/>
          <w:color w:val="00B050"/>
        </w:rPr>
        <w:tab/>
        <w:t>DEPRESORES SIMPATICOMIMETICOS</w:t>
      </w:r>
    </w:p>
    <w:p w:rsidR="000857B4" w:rsidRPr="000857B4" w:rsidRDefault="000857B4" w:rsidP="000857B4">
      <w:pPr>
        <w:tabs>
          <w:tab w:val="left" w:pos="1320"/>
        </w:tabs>
        <w:ind w:left="113"/>
        <w:rPr>
          <w:rFonts w:cs="Arial"/>
          <w:b/>
          <w:i/>
          <w:color w:val="00B050"/>
        </w:rPr>
      </w:pPr>
      <w:r w:rsidRPr="000857B4">
        <w:rPr>
          <w:rFonts w:cs="Arial"/>
          <w:b/>
          <w:i/>
          <w:color w:val="00B050"/>
        </w:rPr>
        <w:t>G02CA01</w:t>
      </w:r>
      <w:r w:rsidRPr="000857B4">
        <w:rPr>
          <w:rFonts w:cs="Arial"/>
          <w:b/>
          <w:i/>
          <w:color w:val="00B050"/>
        </w:rPr>
        <w:tab/>
        <w:t xml:space="preserve">RITODRINA CLORHIDRATO </w:t>
      </w:r>
    </w:p>
    <w:p w:rsidR="000857B4" w:rsidRPr="000857B4" w:rsidRDefault="000857B4" w:rsidP="00396EBC">
      <w:pPr>
        <w:numPr>
          <w:ilvl w:val="0"/>
          <w:numId w:val="38"/>
        </w:numPr>
        <w:spacing w:after="0" w:line="240" w:lineRule="auto"/>
        <w:jc w:val="both"/>
        <w:rPr>
          <w:snapToGrid w:val="0"/>
        </w:rPr>
      </w:pPr>
      <w:r w:rsidRPr="000857B4">
        <w:rPr>
          <w:snapToGrid w:val="0"/>
        </w:rPr>
        <w:t>Inhibición del parto prematuro no complicado en embarazos de más de 20 semanas de edad gestacional.</w:t>
      </w:r>
    </w:p>
    <w:p w:rsidR="000857B4" w:rsidRPr="000857B4" w:rsidRDefault="000857B4" w:rsidP="000857B4">
      <w:pPr>
        <w:ind w:left="360"/>
        <w:jc w:val="both"/>
        <w:rPr>
          <w:snapToGrid w:val="0"/>
        </w:rPr>
      </w:pPr>
      <w:r w:rsidRPr="000857B4">
        <w:rPr>
          <w:snapToGrid w:val="0"/>
          <w:u w:val="single"/>
        </w:rPr>
        <w:t>Dosis:</w:t>
      </w:r>
      <w:r w:rsidRPr="000857B4">
        <w:rPr>
          <w:snapToGrid w:val="0"/>
        </w:rPr>
        <w:t xml:space="preserve"> oral 10-20 mg cada 4-6 horas; se recomienda monitoreo de glucemia y potasio plasmático e intensificar el control de </w:t>
      </w:r>
      <w:proofErr w:type="spellStart"/>
      <w:r w:rsidRPr="000857B4">
        <w:rPr>
          <w:snapToGrid w:val="0"/>
        </w:rPr>
        <w:t>pacientas</w:t>
      </w:r>
      <w:proofErr w:type="spellEnd"/>
      <w:r w:rsidRPr="000857B4">
        <w:rPr>
          <w:snapToGrid w:val="0"/>
        </w:rPr>
        <w:t xml:space="preserve"> diabéticas durante el tratamiento.</w:t>
      </w:r>
    </w:p>
    <w:p w:rsidR="000857B4" w:rsidRPr="000857B4" w:rsidRDefault="000857B4" w:rsidP="000857B4">
      <w:pPr>
        <w:tabs>
          <w:tab w:val="left" w:pos="1320"/>
        </w:tabs>
        <w:ind w:left="113"/>
        <w:rPr>
          <w:rFonts w:cs="Arial"/>
          <w:i/>
          <w:color w:val="00B050"/>
        </w:rPr>
      </w:pPr>
    </w:p>
    <w:p w:rsidR="000857B4" w:rsidRPr="00E9331D" w:rsidRDefault="000857B4" w:rsidP="000857B4">
      <w:pPr>
        <w:tabs>
          <w:tab w:val="left" w:pos="1320"/>
        </w:tabs>
        <w:ind w:left="113"/>
        <w:rPr>
          <w:rFonts w:cs="Arial"/>
          <w:b/>
          <w:i/>
          <w:color w:val="00B050"/>
        </w:rPr>
      </w:pPr>
      <w:r w:rsidRPr="00E9331D">
        <w:rPr>
          <w:rFonts w:cs="Arial"/>
          <w:b/>
          <w:i/>
          <w:color w:val="00B050"/>
        </w:rPr>
        <w:t>G02CA99</w:t>
      </w:r>
      <w:r w:rsidRPr="00E9331D">
        <w:rPr>
          <w:rFonts w:cs="Arial"/>
          <w:b/>
          <w:i/>
          <w:color w:val="00B050"/>
        </w:rPr>
        <w:tab/>
        <w:t>ISOXUPRINA CLORHIDRATO</w:t>
      </w:r>
    </w:p>
    <w:p w:rsidR="000857B4" w:rsidRPr="000857B4" w:rsidRDefault="000857B4" w:rsidP="00396EBC">
      <w:pPr>
        <w:numPr>
          <w:ilvl w:val="0"/>
          <w:numId w:val="38"/>
        </w:numPr>
        <w:spacing w:after="0" w:line="240" w:lineRule="auto"/>
        <w:jc w:val="both"/>
        <w:rPr>
          <w:snapToGrid w:val="0"/>
        </w:rPr>
      </w:pPr>
      <w:proofErr w:type="spellStart"/>
      <w:r w:rsidRPr="000857B4">
        <w:rPr>
          <w:snapToGrid w:val="0"/>
        </w:rPr>
        <w:t>Uteroinhibición</w:t>
      </w:r>
      <w:proofErr w:type="spellEnd"/>
      <w:r w:rsidRPr="000857B4">
        <w:rPr>
          <w:snapToGrid w:val="0"/>
        </w:rPr>
        <w:t xml:space="preserve"> ante amenaza de aborto o amenaza de parto prematuro</w:t>
      </w:r>
    </w:p>
    <w:p w:rsidR="000857B4" w:rsidRPr="000857B4" w:rsidRDefault="000857B4" w:rsidP="00396EBC">
      <w:pPr>
        <w:numPr>
          <w:ilvl w:val="0"/>
          <w:numId w:val="38"/>
        </w:numPr>
        <w:spacing w:after="0" w:line="240" w:lineRule="auto"/>
        <w:jc w:val="both"/>
        <w:rPr>
          <w:snapToGrid w:val="0"/>
        </w:rPr>
      </w:pPr>
      <w:r w:rsidRPr="000857B4">
        <w:rPr>
          <w:snapToGrid w:val="0"/>
        </w:rPr>
        <w:t>Tratamiento de la amenaza de parto prematuro o amenaza de aborto que requiera útero inhibición más allá de las 72 horas de evolución desde el inicio del episodio.</w:t>
      </w:r>
    </w:p>
    <w:p w:rsidR="000857B4" w:rsidRDefault="000857B4" w:rsidP="000857B4">
      <w:pPr>
        <w:ind w:left="360"/>
        <w:jc w:val="both"/>
        <w:rPr>
          <w:snapToGrid w:val="0"/>
        </w:rPr>
      </w:pPr>
      <w:r w:rsidRPr="000857B4">
        <w:rPr>
          <w:snapToGrid w:val="0"/>
          <w:u w:val="single"/>
        </w:rPr>
        <w:t>Dosis</w:t>
      </w:r>
      <w:r w:rsidRPr="000857B4">
        <w:rPr>
          <w:snapToGrid w:val="0"/>
        </w:rPr>
        <w:t>: 10-20 mg por vía oral hasta 4 veces al día.</w:t>
      </w:r>
    </w:p>
    <w:p w:rsidR="000857B4" w:rsidRPr="000857B4" w:rsidRDefault="000857B4" w:rsidP="000857B4">
      <w:pPr>
        <w:ind w:left="360"/>
        <w:jc w:val="both"/>
        <w:rPr>
          <w:snapToGrid w:val="0"/>
        </w:rPr>
      </w:pPr>
    </w:p>
    <w:p w:rsidR="000857B4" w:rsidRPr="000857B4" w:rsidRDefault="000857B4" w:rsidP="000857B4">
      <w:pPr>
        <w:tabs>
          <w:tab w:val="left" w:pos="1320"/>
        </w:tabs>
        <w:ind w:left="113"/>
        <w:rPr>
          <w:rFonts w:cs="Arial"/>
          <w:b/>
          <w:i/>
          <w:color w:val="00B050"/>
        </w:rPr>
      </w:pPr>
      <w:r w:rsidRPr="000857B4">
        <w:rPr>
          <w:rFonts w:cs="Arial"/>
          <w:b/>
          <w:i/>
          <w:color w:val="00B050"/>
        </w:rPr>
        <w:t>G03A</w:t>
      </w:r>
      <w:r w:rsidRPr="000857B4">
        <w:rPr>
          <w:rFonts w:cs="Arial"/>
          <w:b/>
          <w:i/>
          <w:color w:val="00B050"/>
        </w:rPr>
        <w:tab/>
        <w:t>ANTICONCEPTIVOS HORMONALES DE USO SISTEMICO</w:t>
      </w:r>
    </w:p>
    <w:p w:rsidR="000857B4" w:rsidRPr="000857B4" w:rsidRDefault="000857B4" w:rsidP="000857B4">
      <w:pPr>
        <w:tabs>
          <w:tab w:val="left" w:pos="1320"/>
        </w:tabs>
        <w:ind w:left="113"/>
        <w:jc w:val="both"/>
        <w:rPr>
          <w:rFonts w:cs="Arial"/>
        </w:rPr>
      </w:pPr>
      <w:r w:rsidRPr="000857B4">
        <w:rPr>
          <w:rFonts w:cs="Arial"/>
        </w:rPr>
        <w:t>Los anticonceptivos orales incluidos en el FT SEMPRE 201</w:t>
      </w:r>
      <w:r w:rsidR="00B17B4F">
        <w:rPr>
          <w:rFonts w:cs="Arial"/>
        </w:rPr>
        <w:t>9</w:t>
      </w:r>
      <w:r w:rsidRPr="000857B4">
        <w:rPr>
          <w:rFonts w:cs="Arial"/>
        </w:rPr>
        <w:t xml:space="preserve"> constituyen estrategias de prevención de embarazos no deseados, cuya cobertura encuadra dentro de previsiones establecidas por la Ley 25.673 de creación del Programa Nacional de Salud Sexual y Procreación responsable. </w:t>
      </w:r>
    </w:p>
    <w:p w:rsidR="000857B4" w:rsidRPr="000857B4" w:rsidRDefault="000857B4" w:rsidP="000857B4">
      <w:pPr>
        <w:tabs>
          <w:tab w:val="left" w:pos="1320"/>
        </w:tabs>
        <w:ind w:left="113"/>
        <w:jc w:val="both"/>
        <w:rPr>
          <w:rFonts w:cs="Arial"/>
        </w:rPr>
      </w:pPr>
    </w:p>
    <w:p w:rsidR="000857B4" w:rsidRPr="000857B4" w:rsidRDefault="000857B4" w:rsidP="000857B4">
      <w:pPr>
        <w:tabs>
          <w:tab w:val="left" w:pos="1320"/>
        </w:tabs>
        <w:ind w:left="113"/>
        <w:jc w:val="both"/>
        <w:rPr>
          <w:rFonts w:cs="Arial"/>
        </w:rPr>
      </w:pPr>
      <w:r w:rsidRPr="000857B4">
        <w:rPr>
          <w:rFonts w:cs="Arial"/>
        </w:rPr>
        <w:t xml:space="preserve">Los anticonceptivos orales en combinación (ACO) de tipo monofásico administran una dosis fija de estrógeno y progestágeno desde el día 1 al 21 del ciclo, con 7 días de descanso. </w:t>
      </w:r>
    </w:p>
    <w:p w:rsidR="000857B4" w:rsidRPr="000857B4" w:rsidRDefault="000857B4" w:rsidP="000857B4">
      <w:pPr>
        <w:tabs>
          <w:tab w:val="left" w:pos="1320"/>
        </w:tabs>
        <w:ind w:left="113"/>
        <w:jc w:val="both"/>
        <w:rPr>
          <w:rFonts w:cs="Arial"/>
        </w:rPr>
      </w:pPr>
      <w:r w:rsidRPr="000857B4">
        <w:rPr>
          <w:rFonts w:cs="Arial"/>
        </w:rPr>
        <w:t>Las combinaciones bifásicas y trifásicas tienen diferentes proporciones de la asociación estrógeno -</w:t>
      </w:r>
      <w:proofErr w:type="spellStart"/>
      <w:r w:rsidRPr="000857B4">
        <w:rPr>
          <w:rFonts w:cs="Arial"/>
        </w:rPr>
        <w:t>gestágeno</w:t>
      </w:r>
      <w:proofErr w:type="spellEnd"/>
      <w:r w:rsidRPr="000857B4">
        <w:rPr>
          <w:rFonts w:cs="Arial"/>
        </w:rPr>
        <w:t xml:space="preserve">, a lo largo del ciclo, simulando el patrón hormonal fisiológico y disminuyendo la dosis total por ciclo del progestágeno. </w:t>
      </w:r>
    </w:p>
    <w:p w:rsidR="000857B4" w:rsidRPr="000857B4" w:rsidRDefault="000857B4" w:rsidP="000857B4">
      <w:pPr>
        <w:tabs>
          <w:tab w:val="left" w:pos="1320"/>
        </w:tabs>
        <w:ind w:left="113"/>
        <w:jc w:val="both"/>
        <w:rPr>
          <w:rFonts w:cs="Arial"/>
        </w:rPr>
      </w:pPr>
      <w:r w:rsidRPr="000857B4">
        <w:rPr>
          <w:rFonts w:cs="Arial"/>
        </w:rPr>
        <w:t xml:space="preserve">La efectividad clínica de los ACO alcanza el 97-98% y sus efectos son reversibles. Los efectos adversos graves que producen dependen de las dosis de hormona administrada y los factores de riesgo de cada paciente. </w:t>
      </w:r>
    </w:p>
    <w:p w:rsidR="000857B4" w:rsidRPr="000857B4" w:rsidRDefault="000857B4" w:rsidP="000857B4">
      <w:pPr>
        <w:tabs>
          <w:tab w:val="left" w:pos="1320"/>
        </w:tabs>
        <w:ind w:left="113"/>
        <w:jc w:val="both"/>
        <w:rPr>
          <w:rFonts w:cs="Arial"/>
        </w:rPr>
      </w:pPr>
    </w:p>
    <w:p w:rsidR="000857B4" w:rsidRPr="000857B4" w:rsidRDefault="000857B4" w:rsidP="000857B4">
      <w:pPr>
        <w:tabs>
          <w:tab w:val="left" w:pos="1320"/>
        </w:tabs>
        <w:ind w:left="113"/>
        <w:jc w:val="both"/>
        <w:rPr>
          <w:rFonts w:cs="Arial"/>
        </w:rPr>
      </w:pPr>
      <w:r w:rsidRPr="000857B4">
        <w:rPr>
          <w:rFonts w:cs="Arial"/>
        </w:rPr>
        <w:t xml:space="preserve">El riesgo de trombosis venosa y/o </w:t>
      </w:r>
      <w:proofErr w:type="spellStart"/>
      <w:r w:rsidRPr="000857B4">
        <w:rPr>
          <w:rFonts w:cs="Arial"/>
        </w:rPr>
        <w:t>tromboembolismo</w:t>
      </w:r>
      <w:proofErr w:type="spellEnd"/>
      <w:r w:rsidRPr="000857B4">
        <w:rPr>
          <w:rFonts w:cs="Arial"/>
        </w:rPr>
        <w:t xml:space="preserve"> se incrementa de </w:t>
      </w:r>
      <w:smartTag w:uri="urn:schemas-microsoft-com:office:smarttags" w:element="metricconverter">
        <w:smartTagPr>
          <w:attr w:name="ProductID" w:val="3 a"/>
        </w:smartTagPr>
        <w:r w:rsidRPr="000857B4">
          <w:rPr>
            <w:rFonts w:cs="Arial"/>
          </w:rPr>
          <w:t>3 a</w:t>
        </w:r>
      </w:smartTag>
      <w:r w:rsidRPr="000857B4">
        <w:rPr>
          <w:rFonts w:cs="Arial"/>
        </w:rPr>
        <w:t xml:space="preserve"> 5 veces entre las utilizadoras sin factores de riesgo asociados (15-25 casos por 100.000 mujeres por año, siendo mayor que en la población de muyeres que no usan ACO como estrategia anticonceptiva, pero menor que el riesgo de padecer fenómenos </w:t>
      </w:r>
      <w:proofErr w:type="spellStart"/>
      <w:r w:rsidRPr="000857B4">
        <w:rPr>
          <w:rFonts w:cs="Arial"/>
        </w:rPr>
        <w:t>trombóticos</w:t>
      </w:r>
      <w:proofErr w:type="spellEnd"/>
      <w:r w:rsidRPr="000857B4">
        <w:rPr>
          <w:rFonts w:cs="Arial"/>
        </w:rPr>
        <w:t xml:space="preserve"> por el embarazo (55-60 casos por 100.000 gestas anuales. </w:t>
      </w:r>
    </w:p>
    <w:p w:rsidR="000857B4" w:rsidRPr="000857B4" w:rsidRDefault="000857B4" w:rsidP="000857B4">
      <w:pPr>
        <w:tabs>
          <w:tab w:val="left" w:pos="1320"/>
        </w:tabs>
        <w:ind w:left="113"/>
        <w:jc w:val="both"/>
        <w:rPr>
          <w:rFonts w:cs="Arial"/>
        </w:rPr>
      </w:pPr>
    </w:p>
    <w:p w:rsidR="000857B4" w:rsidRPr="000857B4" w:rsidRDefault="000857B4" w:rsidP="000857B4">
      <w:pPr>
        <w:tabs>
          <w:tab w:val="left" w:pos="1320"/>
        </w:tabs>
        <w:ind w:left="113"/>
        <w:jc w:val="both"/>
        <w:rPr>
          <w:rFonts w:cs="Arial"/>
        </w:rPr>
      </w:pPr>
      <w:r w:rsidRPr="000857B4">
        <w:rPr>
          <w:rFonts w:cs="Arial"/>
        </w:rPr>
        <w:t xml:space="preserve">La OMS recomienda el uso de preparados combinados con bajas dosis de estrógenos de hasta 35 microgramos (30 </w:t>
      </w:r>
      <w:proofErr w:type="spellStart"/>
      <w:r w:rsidRPr="000857B4">
        <w:rPr>
          <w:rFonts w:cs="Arial"/>
        </w:rPr>
        <w:t>mcg</w:t>
      </w:r>
      <w:proofErr w:type="spellEnd"/>
      <w:r w:rsidRPr="000857B4">
        <w:rPr>
          <w:rFonts w:cs="Arial"/>
        </w:rPr>
        <w:t xml:space="preserve"> de </w:t>
      </w:r>
      <w:proofErr w:type="spellStart"/>
      <w:r w:rsidRPr="000857B4">
        <w:rPr>
          <w:rFonts w:cs="Arial"/>
        </w:rPr>
        <w:t>etinilestradiol</w:t>
      </w:r>
      <w:proofErr w:type="spellEnd"/>
      <w:r w:rsidRPr="000857B4">
        <w:rPr>
          <w:rFonts w:cs="Arial"/>
        </w:rPr>
        <w:t xml:space="preserve"> combinado con 150 </w:t>
      </w:r>
      <w:proofErr w:type="spellStart"/>
      <w:r w:rsidRPr="000857B4">
        <w:rPr>
          <w:rFonts w:cs="Arial"/>
        </w:rPr>
        <w:t>mcg</w:t>
      </w:r>
      <w:proofErr w:type="spellEnd"/>
      <w:r w:rsidRPr="000857B4">
        <w:rPr>
          <w:rFonts w:cs="Arial"/>
        </w:rPr>
        <w:t xml:space="preserve"> de </w:t>
      </w:r>
      <w:proofErr w:type="spellStart"/>
      <w:r w:rsidRPr="000857B4">
        <w:rPr>
          <w:rFonts w:cs="Arial"/>
        </w:rPr>
        <w:t>levonorgestrel</w:t>
      </w:r>
      <w:proofErr w:type="spellEnd"/>
      <w:r w:rsidRPr="000857B4">
        <w:rPr>
          <w:rFonts w:cs="Arial"/>
        </w:rPr>
        <w:t xml:space="preserve">; 35 </w:t>
      </w:r>
      <w:proofErr w:type="spellStart"/>
      <w:r w:rsidRPr="000857B4">
        <w:rPr>
          <w:rFonts w:cs="Arial"/>
        </w:rPr>
        <w:t>mcg</w:t>
      </w:r>
      <w:proofErr w:type="spellEnd"/>
      <w:r w:rsidRPr="000857B4">
        <w:rPr>
          <w:rFonts w:cs="Arial"/>
        </w:rPr>
        <w:t xml:space="preserve"> de </w:t>
      </w:r>
      <w:proofErr w:type="spellStart"/>
      <w:r w:rsidRPr="000857B4">
        <w:rPr>
          <w:rFonts w:cs="Arial"/>
        </w:rPr>
        <w:t>etinilestradiol</w:t>
      </w:r>
      <w:proofErr w:type="spellEnd"/>
      <w:r w:rsidRPr="000857B4">
        <w:rPr>
          <w:rFonts w:cs="Arial"/>
        </w:rPr>
        <w:t xml:space="preserve"> combinado con 1.0 mg de </w:t>
      </w:r>
      <w:proofErr w:type="spellStart"/>
      <w:r w:rsidRPr="000857B4">
        <w:rPr>
          <w:rFonts w:cs="Arial"/>
        </w:rPr>
        <w:t>levonorgestrel</w:t>
      </w:r>
      <w:proofErr w:type="spellEnd"/>
      <w:r w:rsidRPr="000857B4">
        <w:rPr>
          <w:rFonts w:cs="Arial"/>
        </w:rPr>
        <w:t xml:space="preserve">) y en anticoncepción con progestágenos solos (APS) el </w:t>
      </w:r>
      <w:proofErr w:type="spellStart"/>
      <w:r w:rsidRPr="000857B4">
        <w:rPr>
          <w:rFonts w:cs="Arial"/>
        </w:rPr>
        <w:t>levonorgestrel</w:t>
      </w:r>
      <w:proofErr w:type="spellEnd"/>
      <w:r w:rsidRPr="000857B4">
        <w:rPr>
          <w:rFonts w:cs="Arial"/>
        </w:rPr>
        <w:t xml:space="preserve"> en concentraciones de 30 </w:t>
      </w:r>
      <w:proofErr w:type="spellStart"/>
      <w:r w:rsidRPr="000857B4">
        <w:rPr>
          <w:rFonts w:cs="Arial"/>
        </w:rPr>
        <w:t>mcg</w:t>
      </w:r>
      <w:proofErr w:type="spellEnd"/>
      <w:r w:rsidRPr="000857B4">
        <w:rPr>
          <w:rFonts w:cs="Arial"/>
        </w:rPr>
        <w:t xml:space="preserve"> por unidad de dosis por 21 días, o 750 </w:t>
      </w:r>
      <w:proofErr w:type="spellStart"/>
      <w:r w:rsidRPr="000857B4">
        <w:rPr>
          <w:rFonts w:cs="Arial"/>
        </w:rPr>
        <w:t>mcg</w:t>
      </w:r>
      <w:proofErr w:type="spellEnd"/>
      <w:r w:rsidRPr="000857B4">
        <w:rPr>
          <w:rFonts w:cs="Arial"/>
        </w:rPr>
        <w:t xml:space="preserve">  por 2 dosis para la anticoncepción de emergencia, la </w:t>
      </w:r>
      <w:proofErr w:type="spellStart"/>
      <w:r w:rsidRPr="000857B4">
        <w:rPr>
          <w:rFonts w:cs="Arial"/>
        </w:rPr>
        <w:t>noretisterona</w:t>
      </w:r>
      <w:proofErr w:type="spellEnd"/>
      <w:r w:rsidRPr="000857B4">
        <w:rPr>
          <w:rFonts w:cs="Arial"/>
        </w:rPr>
        <w:t xml:space="preserve"> a dosis de 5 mg para APS (en particular lactancia materna) y la </w:t>
      </w:r>
      <w:proofErr w:type="spellStart"/>
      <w:r w:rsidRPr="000857B4">
        <w:rPr>
          <w:rFonts w:cs="Arial"/>
        </w:rPr>
        <w:t>medroxiprogesterona</w:t>
      </w:r>
      <w:proofErr w:type="spellEnd"/>
      <w:r w:rsidRPr="000857B4">
        <w:rPr>
          <w:rFonts w:cs="Arial"/>
        </w:rPr>
        <w:t xml:space="preserve"> en formas farmacéuticas de depósito, para anticoncepción eventual.  </w:t>
      </w:r>
    </w:p>
    <w:p w:rsidR="000857B4" w:rsidRPr="000857B4" w:rsidRDefault="000857B4" w:rsidP="000857B4">
      <w:pPr>
        <w:tabs>
          <w:tab w:val="left" w:pos="1320"/>
        </w:tabs>
        <w:ind w:left="113"/>
        <w:jc w:val="both"/>
        <w:rPr>
          <w:rFonts w:cs="Arial"/>
        </w:rPr>
      </w:pPr>
    </w:p>
    <w:p w:rsidR="000857B4" w:rsidRPr="000857B4" w:rsidRDefault="000857B4" w:rsidP="000857B4">
      <w:pPr>
        <w:tabs>
          <w:tab w:val="left" w:pos="1320"/>
        </w:tabs>
        <w:ind w:left="113"/>
        <w:rPr>
          <w:rFonts w:cs="Arial"/>
          <w:b/>
          <w:i/>
          <w:color w:val="00B050"/>
        </w:rPr>
      </w:pPr>
      <w:r w:rsidRPr="000857B4">
        <w:rPr>
          <w:rFonts w:cs="Arial"/>
          <w:b/>
          <w:i/>
          <w:color w:val="00B050"/>
        </w:rPr>
        <w:t>G03CA</w:t>
      </w:r>
      <w:r w:rsidRPr="000857B4">
        <w:rPr>
          <w:rFonts w:cs="Arial"/>
          <w:b/>
          <w:i/>
          <w:color w:val="00B050"/>
        </w:rPr>
        <w:tab/>
        <w:t xml:space="preserve">ESTROGENOS NATURALES Y SEMISINTETICOS </w:t>
      </w:r>
    </w:p>
    <w:p w:rsidR="000857B4" w:rsidRPr="000857B4" w:rsidRDefault="000857B4" w:rsidP="000857B4">
      <w:pPr>
        <w:tabs>
          <w:tab w:val="num" w:pos="720"/>
        </w:tabs>
        <w:ind w:left="720" w:hanging="360"/>
        <w:jc w:val="both"/>
        <w:rPr>
          <w:snapToGrid w:val="0"/>
        </w:rPr>
      </w:pPr>
      <w:r w:rsidRPr="000857B4">
        <w:rPr>
          <w:snapToGrid w:val="0"/>
        </w:rPr>
        <w:t xml:space="preserve">    El estudio WHI - </w:t>
      </w:r>
      <w:proofErr w:type="spellStart"/>
      <w:r w:rsidRPr="000857B4">
        <w:rPr>
          <w:snapToGrid w:val="0"/>
        </w:rPr>
        <w:t>Women's</w:t>
      </w:r>
      <w:proofErr w:type="spellEnd"/>
      <w:r w:rsidRPr="000857B4">
        <w:rPr>
          <w:snapToGrid w:val="0"/>
        </w:rPr>
        <w:t xml:space="preserve"> </w:t>
      </w:r>
      <w:proofErr w:type="spellStart"/>
      <w:r w:rsidRPr="000857B4">
        <w:rPr>
          <w:snapToGrid w:val="0"/>
        </w:rPr>
        <w:t>Health</w:t>
      </w:r>
      <w:proofErr w:type="spellEnd"/>
      <w:r w:rsidRPr="000857B4">
        <w:rPr>
          <w:snapToGrid w:val="0"/>
        </w:rPr>
        <w:t xml:space="preserve"> </w:t>
      </w:r>
      <w:proofErr w:type="spellStart"/>
      <w:r w:rsidRPr="000857B4">
        <w:rPr>
          <w:snapToGrid w:val="0"/>
        </w:rPr>
        <w:t>Iniciative</w:t>
      </w:r>
      <w:proofErr w:type="spellEnd"/>
      <w:r w:rsidRPr="000857B4">
        <w:rPr>
          <w:snapToGrid w:val="0"/>
        </w:rPr>
        <w:t xml:space="preserve">- cuya finalización estaba prevista para 2005, fue detenido en julio de 2002 debido a que, si bien la administración de estrógenos reduce los riesgos de fracturas por osteoporosis y de cáncer de colon, incrementa los riesgos de cáncer de mama, enfermedad coronaria, </w:t>
      </w:r>
      <w:proofErr w:type="spellStart"/>
      <w:r w:rsidRPr="000857B4">
        <w:rPr>
          <w:snapToGrid w:val="0"/>
        </w:rPr>
        <w:t>tromboembolismo</w:t>
      </w:r>
      <w:proofErr w:type="spellEnd"/>
      <w:r w:rsidRPr="000857B4">
        <w:rPr>
          <w:snapToGrid w:val="0"/>
        </w:rPr>
        <w:t xml:space="preserve"> y accidente cerebrovascular y  en el balance total los riesgos superan a los beneficios, lo cual desaconseja su uso a largo plazo y como preventivo.</w:t>
      </w:r>
    </w:p>
    <w:p w:rsidR="000857B4" w:rsidRPr="000857B4" w:rsidRDefault="000857B4" w:rsidP="00396EBC">
      <w:pPr>
        <w:numPr>
          <w:ilvl w:val="0"/>
          <w:numId w:val="39"/>
        </w:numPr>
        <w:spacing w:after="0" w:line="240" w:lineRule="auto"/>
        <w:jc w:val="both"/>
        <w:rPr>
          <w:snapToGrid w:val="0"/>
        </w:rPr>
      </w:pPr>
      <w:r w:rsidRPr="000857B4">
        <w:rPr>
          <w:snapToGrid w:val="0"/>
        </w:rPr>
        <w:t xml:space="preserve">Tratamiento del climaterio (síntomas menopáusicos vasomotores y de la vaginitis </w:t>
      </w:r>
      <w:proofErr w:type="spellStart"/>
      <w:r w:rsidRPr="000857B4">
        <w:rPr>
          <w:snapToGrid w:val="0"/>
        </w:rPr>
        <w:t>hipoestrogénica</w:t>
      </w:r>
      <w:proofErr w:type="spellEnd"/>
      <w:r w:rsidRPr="000857B4">
        <w:rPr>
          <w:snapToGrid w:val="0"/>
        </w:rPr>
        <w:t xml:space="preserve">) bajo la modalidad de terapia hormonal sustitutiva (THS) en la menopausia temprana y de acuerdo un adecuado balance beneficio-riesgo </w:t>
      </w:r>
      <w:r w:rsidRPr="000857B4">
        <w:rPr>
          <w:snapToGrid w:val="0"/>
        </w:rPr>
        <w:lastRenderedPageBreak/>
        <w:t xml:space="preserve">definido por el profesional actuante para cada caso, según la presencia o ausencia de antecedentes personales y familiares que desaconsejan el uso de estrógenos, en particular: antecedentes primarios de cáncer de mama, antecedentes de </w:t>
      </w:r>
      <w:proofErr w:type="spellStart"/>
      <w:r w:rsidRPr="000857B4">
        <w:rPr>
          <w:snapToGrid w:val="0"/>
        </w:rPr>
        <w:t>tromboembolismo</w:t>
      </w:r>
      <w:proofErr w:type="spellEnd"/>
      <w:r w:rsidRPr="000857B4">
        <w:rPr>
          <w:snapToGrid w:val="0"/>
        </w:rPr>
        <w:t xml:space="preserve"> y/o enfermedad coronaria y/o presencia de factores de riesgo cardiovascular, especialmente tabaquismo.</w:t>
      </w:r>
    </w:p>
    <w:p w:rsidR="000857B4" w:rsidRPr="000857B4" w:rsidRDefault="000857B4" w:rsidP="000857B4">
      <w:pPr>
        <w:tabs>
          <w:tab w:val="num" w:pos="720"/>
        </w:tabs>
        <w:ind w:left="720" w:hanging="360"/>
        <w:jc w:val="both"/>
        <w:rPr>
          <w:snapToGrid w:val="0"/>
        </w:rPr>
      </w:pPr>
      <w:r w:rsidRPr="000857B4">
        <w:rPr>
          <w:snapToGrid w:val="0"/>
          <w:u w:val="single"/>
        </w:rPr>
        <w:t>Dosis:</w:t>
      </w:r>
      <w:r w:rsidRPr="000857B4">
        <w:rPr>
          <w:snapToGrid w:val="0"/>
        </w:rPr>
        <w:t xml:space="preserve"> estrógenos conjugados por vía oral a razón de 0,625 mg/día en una sola toma; vía </w:t>
      </w:r>
      <w:proofErr w:type="spellStart"/>
      <w:r w:rsidRPr="000857B4">
        <w:rPr>
          <w:snapToGrid w:val="0"/>
        </w:rPr>
        <w:t>transdérmica</w:t>
      </w:r>
      <w:proofErr w:type="spellEnd"/>
      <w:r w:rsidRPr="000857B4">
        <w:rPr>
          <w:snapToGrid w:val="0"/>
        </w:rPr>
        <w:t xml:space="preserve"> 0,025-0,050 mg/día de 17-beta estradiol en parches administrados 1 o 2 veces por semana</w:t>
      </w:r>
    </w:p>
    <w:p w:rsidR="000857B4" w:rsidRPr="00980F47" w:rsidRDefault="000857B4" w:rsidP="000857B4">
      <w:pPr>
        <w:tabs>
          <w:tab w:val="left" w:pos="5190"/>
        </w:tabs>
        <w:jc w:val="both"/>
        <w:rPr>
          <w:b/>
          <w:i/>
          <w:color w:val="00B050"/>
        </w:rPr>
      </w:pPr>
      <w:bookmarkStart w:id="9" w:name="_Hlk3647562"/>
      <w:r w:rsidRPr="001D0EC4">
        <w:rPr>
          <w:b/>
          <w:i/>
          <w:color w:val="00B050"/>
        </w:rPr>
        <w:t>G03DB08A</w:t>
      </w:r>
      <w:bookmarkEnd w:id="9"/>
      <w:r w:rsidRPr="001D0EC4">
        <w:rPr>
          <w:b/>
          <w:i/>
          <w:color w:val="00B050"/>
        </w:rPr>
        <w:t xml:space="preserve"> DIENOGEST</w:t>
      </w:r>
      <w:r w:rsidRPr="00980F47">
        <w:rPr>
          <w:b/>
          <w:i/>
          <w:color w:val="00B050"/>
        </w:rPr>
        <w:t xml:space="preserve"> </w:t>
      </w:r>
      <w:r w:rsidRPr="00980F47">
        <w:rPr>
          <w:b/>
          <w:i/>
          <w:color w:val="00B050"/>
        </w:rPr>
        <w:tab/>
      </w:r>
    </w:p>
    <w:p w:rsidR="000857B4" w:rsidRPr="00B44D33" w:rsidRDefault="000857B4" w:rsidP="000857B4">
      <w:pPr>
        <w:pStyle w:val="Prrafodelista"/>
        <w:numPr>
          <w:ilvl w:val="0"/>
          <w:numId w:val="1"/>
        </w:numPr>
        <w:jc w:val="both"/>
      </w:pPr>
      <w:r w:rsidRPr="00B44D33">
        <w:t xml:space="preserve">Tratamiento </w:t>
      </w:r>
      <w:r>
        <w:t>de la endometriosis con diagnóstico de certeza establecido (clínica, imágenes y laparoscopia)</w:t>
      </w:r>
    </w:p>
    <w:p w:rsidR="000857B4" w:rsidRDefault="000857B4" w:rsidP="000857B4">
      <w:pPr>
        <w:pStyle w:val="Prrafodelista"/>
        <w:jc w:val="both"/>
      </w:pPr>
      <w:r w:rsidRPr="00F61C2D">
        <w:rPr>
          <w:u w:val="single"/>
        </w:rPr>
        <w:t>Dosis</w:t>
      </w:r>
      <w:proofErr w:type="gramStart"/>
      <w:r w:rsidRPr="00F61C2D">
        <w:rPr>
          <w:u w:val="single"/>
        </w:rPr>
        <w:t>:</w:t>
      </w:r>
      <w:r>
        <w:rPr>
          <w:u w:val="single"/>
        </w:rPr>
        <w:t xml:space="preserve"> </w:t>
      </w:r>
      <w:r>
        <w:t xml:space="preserve"> La</w:t>
      </w:r>
      <w:proofErr w:type="gramEnd"/>
      <w:r>
        <w:t xml:space="preserve"> dosis recomendada de </w:t>
      </w:r>
      <w:proofErr w:type="spellStart"/>
      <w:r>
        <w:t>dienogest</w:t>
      </w:r>
      <w:proofErr w:type="spellEnd"/>
      <w:r>
        <w:t xml:space="preserve"> para esta indicación es 2 mg una vez al día. La evaluación de la respuesta al tratamiento demanda 6 meses ininterrumpidos de administración oral. </w:t>
      </w:r>
    </w:p>
    <w:p w:rsidR="0086208B" w:rsidRPr="0086208B" w:rsidRDefault="0086208B" w:rsidP="0086208B">
      <w:pPr>
        <w:tabs>
          <w:tab w:val="left" w:pos="1161"/>
        </w:tabs>
        <w:ind w:left="50"/>
        <w:rPr>
          <w:rFonts w:cs="Arial"/>
          <w:b/>
          <w:bCs/>
          <w:i/>
          <w:color w:val="00B050"/>
        </w:rPr>
      </w:pPr>
    </w:p>
    <w:p w:rsidR="00E9331D" w:rsidRPr="00697123" w:rsidRDefault="00E9331D" w:rsidP="00E9331D">
      <w:pPr>
        <w:tabs>
          <w:tab w:val="left" w:pos="5190"/>
        </w:tabs>
        <w:jc w:val="both"/>
        <w:rPr>
          <w:i/>
          <w:color w:val="00B050"/>
        </w:rPr>
      </w:pPr>
      <w:r w:rsidRPr="001D0EC4">
        <w:rPr>
          <w:b/>
          <w:i/>
          <w:color w:val="00B050"/>
        </w:rPr>
        <w:t>G03BA03A TESTOSTERONA INYECTABLE – 1GRAMO</w:t>
      </w:r>
      <w:r w:rsidRPr="001D0EC4">
        <w:rPr>
          <w:i/>
          <w:color w:val="00B050"/>
        </w:rPr>
        <w:t xml:space="preserve"> -</w:t>
      </w:r>
    </w:p>
    <w:p w:rsidR="00E9331D" w:rsidRPr="00535A06" w:rsidRDefault="00E9331D" w:rsidP="00E9331D">
      <w:pPr>
        <w:pStyle w:val="Prrafodelista"/>
        <w:numPr>
          <w:ilvl w:val="0"/>
          <w:numId w:val="10"/>
        </w:numPr>
        <w:jc w:val="both"/>
      </w:pPr>
      <w:r>
        <w:t>Terapia de s</w:t>
      </w:r>
      <w:r w:rsidRPr="00535A06">
        <w:t xml:space="preserve">ustitución de testosterona en el </w:t>
      </w:r>
      <w:proofErr w:type="spellStart"/>
      <w:r w:rsidRPr="00535A06">
        <w:t>hipogonadismo</w:t>
      </w:r>
      <w:proofErr w:type="spellEnd"/>
      <w:r w:rsidRPr="00535A06">
        <w:t xml:space="preserve"> masculino primario y secundario.</w:t>
      </w:r>
    </w:p>
    <w:p w:rsidR="00E9331D" w:rsidRDefault="00E9331D" w:rsidP="00E9331D">
      <w:pPr>
        <w:pStyle w:val="Prrafodelista"/>
        <w:numPr>
          <w:ilvl w:val="0"/>
          <w:numId w:val="10"/>
        </w:numPr>
        <w:jc w:val="both"/>
      </w:pPr>
      <w:r w:rsidRPr="00535A06">
        <w:rPr>
          <w:u w:val="single"/>
        </w:rPr>
        <w:t>Dosis:</w:t>
      </w:r>
      <w:r>
        <w:t xml:space="preserve"> </w:t>
      </w:r>
      <w:r w:rsidRPr="00535A06">
        <w:t xml:space="preserve">1 ampolla corresponde a 1.000 mg de </w:t>
      </w:r>
      <w:proofErr w:type="spellStart"/>
      <w:r w:rsidRPr="00535A06">
        <w:t>undecanoato</w:t>
      </w:r>
      <w:proofErr w:type="spellEnd"/>
      <w:r w:rsidRPr="00535A06">
        <w:t xml:space="preserve"> de testosterona</w:t>
      </w:r>
      <w:r>
        <w:t xml:space="preserve"> que                  </w:t>
      </w:r>
      <w:r w:rsidRPr="00535A06">
        <w:t xml:space="preserve"> se inyecta cada 10 a 14 semanas</w:t>
      </w:r>
      <w:r>
        <w:t xml:space="preserve"> por vía IM. </w:t>
      </w:r>
    </w:p>
    <w:p w:rsidR="00E9331D" w:rsidRDefault="00E9331D" w:rsidP="00E9331D">
      <w:pPr>
        <w:pStyle w:val="Prrafodelista"/>
        <w:numPr>
          <w:ilvl w:val="0"/>
          <w:numId w:val="10"/>
        </w:numPr>
        <w:jc w:val="both"/>
      </w:pPr>
      <w:r w:rsidRPr="00535A06">
        <w:t>Las inyecciones con esta frecuencia permiten mantener concentraciones suficientes de testosterona y no ocasionan acumulación. </w:t>
      </w:r>
    </w:p>
    <w:p w:rsidR="00E9331D" w:rsidRDefault="00E9331D" w:rsidP="00E9331D">
      <w:pPr>
        <w:pStyle w:val="Prrafodelista"/>
        <w:ind w:left="1440"/>
        <w:jc w:val="both"/>
      </w:pPr>
      <w:r w:rsidRPr="00535A06">
        <w:rPr>
          <w:u w:val="single"/>
        </w:rPr>
        <w:t>Inicio del tratamiento:</w:t>
      </w:r>
      <w:r w:rsidRPr="00535A06">
        <w:t> Deben determinarse las concentraciones séricas de testosterona antes de empezar el tratamiento. El primer intervalo de inyección puede reducirse a un mínimo de 6 semanas. Con esta dosis de carga se alcanzarán rápidamente concentraciones en estado de equilibrio</w:t>
      </w:r>
      <w:r>
        <w:t>.</w:t>
      </w:r>
    </w:p>
    <w:p w:rsidR="00E9331D" w:rsidRDefault="00E9331D" w:rsidP="00E9331D">
      <w:pPr>
        <w:pStyle w:val="Prrafodelista"/>
        <w:ind w:left="1440"/>
        <w:jc w:val="both"/>
      </w:pPr>
      <w:r w:rsidRPr="00535A06">
        <w:rPr>
          <w:u w:val="single"/>
        </w:rPr>
        <w:t>Individualización:</w:t>
      </w:r>
      <w:r w:rsidRPr="00535A06">
        <w:t xml:space="preserve"> Es aconsejable determinar las concentraciones séricas de testosterona ocasionalmente al final de un intervalo de inyección. Concentraciones séricas inferiores al rango normal indicarían la necesidad de un intervalo de inyección más corto. En caso de concentraciones séricas altas, puede considerarse la ampliación del intervalo de inyección. </w:t>
      </w:r>
    </w:p>
    <w:p w:rsidR="00E9331D" w:rsidRPr="001D0EC4" w:rsidRDefault="00E9331D" w:rsidP="00E9331D">
      <w:pPr>
        <w:pStyle w:val="Prrafodelista"/>
        <w:ind w:left="1440"/>
        <w:jc w:val="both"/>
      </w:pPr>
      <w:r w:rsidRPr="00535A06">
        <w:t xml:space="preserve">El intervalo de inyección debe permanecer en el rango recomendado de 10 a </w:t>
      </w:r>
      <w:r w:rsidRPr="001D0EC4">
        <w:t>14 semanas. </w:t>
      </w:r>
    </w:p>
    <w:p w:rsidR="00E9331D" w:rsidRDefault="00E9331D" w:rsidP="0086208B">
      <w:pPr>
        <w:tabs>
          <w:tab w:val="left" w:pos="1161"/>
        </w:tabs>
        <w:ind w:left="50"/>
        <w:rPr>
          <w:rFonts w:cs="Arial"/>
          <w:b/>
          <w:i/>
          <w:color w:val="00B050"/>
        </w:rPr>
      </w:pPr>
    </w:p>
    <w:p w:rsidR="0086208B" w:rsidRPr="0086208B" w:rsidRDefault="0086208B" w:rsidP="0086208B">
      <w:pPr>
        <w:tabs>
          <w:tab w:val="left" w:pos="1161"/>
        </w:tabs>
        <w:ind w:left="50"/>
        <w:rPr>
          <w:rFonts w:cs="Arial"/>
          <w:b/>
          <w:i/>
          <w:color w:val="00B050"/>
        </w:rPr>
      </w:pPr>
      <w:r w:rsidRPr="0086208B">
        <w:rPr>
          <w:rFonts w:cs="Arial"/>
          <w:b/>
          <w:i/>
          <w:color w:val="00B050"/>
        </w:rPr>
        <w:t>G03DC05</w:t>
      </w:r>
      <w:r w:rsidRPr="0086208B">
        <w:rPr>
          <w:rFonts w:cs="Arial"/>
          <w:b/>
          <w:i/>
          <w:color w:val="00B050"/>
        </w:rPr>
        <w:tab/>
        <w:t xml:space="preserve"> TIBOLONA </w:t>
      </w:r>
    </w:p>
    <w:p w:rsidR="0086208B" w:rsidRPr="0086208B" w:rsidRDefault="0086208B" w:rsidP="00396EBC">
      <w:pPr>
        <w:pStyle w:val="Sangradetextonormal"/>
        <w:numPr>
          <w:ilvl w:val="0"/>
          <w:numId w:val="76"/>
        </w:numPr>
        <w:spacing w:after="0" w:line="240" w:lineRule="auto"/>
        <w:jc w:val="both"/>
        <w:rPr>
          <w:rFonts w:cs="Arial"/>
        </w:rPr>
      </w:pPr>
      <w:r w:rsidRPr="0086208B">
        <w:rPr>
          <w:rFonts w:cs="Arial"/>
        </w:rPr>
        <w:t>Tratamiento del climaterio en pacientes con contraindicación formal al uso de estrógenos en THS (antecedentes heredo-familiares de cáncer de mama, trombosis venosa, enfermedad coronaria, IAM y displasia mamaria).</w:t>
      </w:r>
    </w:p>
    <w:p w:rsidR="0086208B" w:rsidRPr="0086208B" w:rsidRDefault="0086208B" w:rsidP="0086208B">
      <w:pPr>
        <w:pStyle w:val="Sangradetextonormal"/>
        <w:tabs>
          <w:tab w:val="num" w:pos="720"/>
        </w:tabs>
        <w:ind w:left="720" w:hanging="360"/>
        <w:rPr>
          <w:rFonts w:cs="Arial"/>
        </w:rPr>
      </w:pPr>
      <w:r w:rsidRPr="0086208B">
        <w:rPr>
          <w:rFonts w:cs="Arial"/>
          <w:u w:val="single"/>
        </w:rPr>
        <w:t>Dosis</w:t>
      </w:r>
      <w:r w:rsidRPr="0086208B">
        <w:rPr>
          <w:rFonts w:cs="Arial"/>
        </w:rPr>
        <w:t>: 2,5 mg en una toma diaria.</w:t>
      </w:r>
    </w:p>
    <w:p w:rsidR="0086208B" w:rsidRPr="0086208B" w:rsidRDefault="0086208B" w:rsidP="0086208B">
      <w:pPr>
        <w:tabs>
          <w:tab w:val="num" w:pos="720"/>
        </w:tabs>
        <w:ind w:left="720" w:hanging="360"/>
        <w:jc w:val="both"/>
        <w:rPr>
          <w:rFonts w:cs="Arial"/>
        </w:rPr>
      </w:pPr>
      <w:r w:rsidRPr="0086208B">
        <w:rPr>
          <w:rFonts w:cs="Arial"/>
          <w:u w:val="single"/>
        </w:rPr>
        <w:t>Nota</w:t>
      </w:r>
      <w:r w:rsidRPr="0086208B">
        <w:rPr>
          <w:rFonts w:cs="Arial"/>
        </w:rPr>
        <w:t xml:space="preserve">: El requerimiento de este fármaco para la prevención de pérdida de masa ósea mineral no cuenta con ensayos clínicos </w:t>
      </w:r>
      <w:proofErr w:type="spellStart"/>
      <w:r w:rsidRPr="0086208B">
        <w:rPr>
          <w:rFonts w:cs="Arial"/>
        </w:rPr>
        <w:t>respaldatorios</w:t>
      </w:r>
      <w:proofErr w:type="spellEnd"/>
      <w:r w:rsidRPr="0086208B">
        <w:rPr>
          <w:rFonts w:cs="Arial"/>
        </w:rPr>
        <w:t xml:space="preserve">, por lo que ante dicho planteo se propondrá la cobertura calcio y vitamina D y eventualmente, terapia hormonal </w:t>
      </w:r>
      <w:r w:rsidRPr="0086208B">
        <w:rPr>
          <w:rFonts w:cs="Arial"/>
        </w:rPr>
        <w:lastRenderedPageBreak/>
        <w:t xml:space="preserve">sustitutiva (en la postmenopausia temprana y cuando no existan las contraindicaciones señaladas). </w:t>
      </w:r>
    </w:p>
    <w:p w:rsidR="000857B4" w:rsidRPr="000857B4" w:rsidRDefault="000857B4" w:rsidP="000857B4">
      <w:pPr>
        <w:tabs>
          <w:tab w:val="left" w:pos="1320"/>
        </w:tabs>
        <w:ind w:left="113"/>
        <w:rPr>
          <w:rFonts w:cs="Arial"/>
          <w:b/>
          <w:i/>
          <w:color w:val="00B050"/>
        </w:rPr>
      </w:pPr>
    </w:p>
    <w:p w:rsidR="000857B4" w:rsidRPr="000857B4" w:rsidRDefault="000857B4" w:rsidP="000857B4">
      <w:pPr>
        <w:tabs>
          <w:tab w:val="left" w:pos="1320"/>
        </w:tabs>
        <w:ind w:left="113"/>
        <w:rPr>
          <w:rFonts w:cs="Arial"/>
          <w:b/>
          <w:i/>
          <w:color w:val="00B050"/>
        </w:rPr>
      </w:pPr>
      <w:r w:rsidRPr="000857B4">
        <w:rPr>
          <w:rFonts w:cs="Arial"/>
          <w:b/>
          <w:i/>
          <w:color w:val="00B050"/>
        </w:rPr>
        <w:t>G03GA</w:t>
      </w:r>
      <w:r w:rsidRPr="000857B4">
        <w:rPr>
          <w:rFonts w:cs="Arial"/>
          <w:b/>
          <w:i/>
          <w:color w:val="00B050"/>
        </w:rPr>
        <w:tab/>
        <w:t>GONADOTROFINAS</w:t>
      </w:r>
    </w:p>
    <w:p w:rsidR="000857B4" w:rsidRPr="000857B4" w:rsidRDefault="000857B4" w:rsidP="000857B4">
      <w:pPr>
        <w:tabs>
          <w:tab w:val="left" w:pos="1320"/>
        </w:tabs>
        <w:ind w:left="113"/>
        <w:rPr>
          <w:rFonts w:cs="Arial"/>
          <w:b/>
          <w:i/>
          <w:color w:val="00B050"/>
        </w:rPr>
      </w:pPr>
      <w:r w:rsidRPr="000857B4">
        <w:rPr>
          <w:rFonts w:cs="Arial"/>
          <w:b/>
          <w:i/>
          <w:color w:val="00B050"/>
        </w:rPr>
        <w:t>G03GA01</w:t>
      </w:r>
      <w:r w:rsidRPr="000857B4">
        <w:rPr>
          <w:rFonts w:cs="Arial"/>
          <w:b/>
          <w:i/>
          <w:color w:val="00B050"/>
        </w:rPr>
        <w:tab/>
        <w:t xml:space="preserve">GONADOTROFINA CORIONICA </w:t>
      </w:r>
    </w:p>
    <w:p w:rsidR="000857B4" w:rsidRDefault="000857B4" w:rsidP="000857B4">
      <w:pPr>
        <w:jc w:val="both"/>
      </w:pPr>
      <w:r w:rsidRPr="00C06B48">
        <w:rPr>
          <w:b/>
          <w:i/>
          <w:color w:val="00B050"/>
        </w:rPr>
        <w:t>G03GA01 GONADOTROFINA CORIONICA</w:t>
      </w:r>
      <w:r w:rsidRPr="00F15E90">
        <w:t xml:space="preserve">  </w:t>
      </w:r>
    </w:p>
    <w:p w:rsidR="000857B4" w:rsidRDefault="000857B4" w:rsidP="000857B4">
      <w:pPr>
        <w:pStyle w:val="Prrafodelista"/>
        <w:numPr>
          <w:ilvl w:val="0"/>
          <w:numId w:val="1"/>
        </w:numPr>
        <w:jc w:val="both"/>
      </w:pPr>
      <w:r w:rsidRPr="00F15E90">
        <w:t xml:space="preserve">Pacientes con criptorquidia en quienes no exista un obstáculo anatómico para el descenso testicular. </w:t>
      </w:r>
    </w:p>
    <w:p w:rsidR="000857B4" w:rsidRDefault="000857B4" w:rsidP="000857B4">
      <w:pPr>
        <w:pStyle w:val="Prrafodelista"/>
        <w:jc w:val="both"/>
      </w:pPr>
      <w:r w:rsidRPr="00076E86">
        <w:rPr>
          <w:u w:val="single"/>
        </w:rPr>
        <w:t>Dosis:</w:t>
      </w:r>
      <w:r w:rsidRPr="00F15E90">
        <w:t xml:space="preserve"> 4000-5000 unidades por vía IM 3 veces por semana durante 3 a 6 semanas </w:t>
      </w:r>
    </w:p>
    <w:p w:rsidR="000857B4" w:rsidRDefault="000857B4" w:rsidP="000857B4">
      <w:pPr>
        <w:pStyle w:val="Prrafodelista"/>
        <w:numPr>
          <w:ilvl w:val="0"/>
          <w:numId w:val="1"/>
        </w:numPr>
        <w:jc w:val="both"/>
      </w:pPr>
      <w:r w:rsidRPr="00F15E90">
        <w:t xml:space="preserve">Pacientes de sexo masculino con </w:t>
      </w:r>
      <w:proofErr w:type="spellStart"/>
      <w:r w:rsidRPr="00F15E90">
        <w:t>hipogonadismo</w:t>
      </w:r>
      <w:proofErr w:type="spellEnd"/>
      <w:r w:rsidRPr="00F15E90">
        <w:t xml:space="preserve"> </w:t>
      </w:r>
      <w:proofErr w:type="spellStart"/>
      <w:r w:rsidRPr="00F15E90">
        <w:t>hipogonadotrófico</w:t>
      </w:r>
      <w:proofErr w:type="spellEnd"/>
      <w:r w:rsidRPr="00F15E90">
        <w:t xml:space="preserve">. </w:t>
      </w:r>
    </w:p>
    <w:p w:rsidR="000857B4" w:rsidRDefault="000857B4" w:rsidP="000857B4">
      <w:pPr>
        <w:pStyle w:val="Prrafodelista"/>
        <w:jc w:val="both"/>
      </w:pPr>
      <w:r w:rsidRPr="00076E86">
        <w:rPr>
          <w:u w:val="single"/>
        </w:rPr>
        <w:t>Dosis:</w:t>
      </w:r>
      <w:r w:rsidRPr="00F15E90">
        <w:t xml:space="preserve"> 500-1000 unidades por vía IM 3 veces por semana por 3 semanas y luego 500-1000 unidades por vía IM 2 veces por semana por 3 semanas.</w:t>
      </w:r>
    </w:p>
    <w:p w:rsidR="000857B4" w:rsidRDefault="000857B4" w:rsidP="000857B4">
      <w:pPr>
        <w:pStyle w:val="Prrafodelista"/>
        <w:numPr>
          <w:ilvl w:val="0"/>
          <w:numId w:val="1"/>
        </w:numPr>
        <w:jc w:val="both"/>
      </w:pPr>
      <w:r w:rsidRPr="00F15E90">
        <w:t xml:space="preserve">Anovulación secundaria a déficit funcional hipofisario. </w:t>
      </w:r>
    </w:p>
    <w:p w:rsidR="000857B4" w:rsidRDefault="000857B4" w:rsidP="000857B4">
      <w:pPr>
        <w:pStyle w:val="Prrafodelista"/>
        <w:jc w:val="both"/>
      </w:pPr>
      <w:r w:rsidRPr="00076E86">
        <w:rPr>
          <w:u w:val="single"/>
        </w:rPr>
        <w:t>Dosis:</w:t>
      </w:r>
      <w:r w:rsidRPr="00F15E90">
        <w:t xml:space="preserve"> 5000-10000 unidades IM al día siguiente de la última administración de FSH.</w:t>
      </w:r>
    </w:p>
    <w:p w:rsidR="000857B4" w:rsidRPr="00F15E90" w:rsidRDefault="000857B4" w:rsidP="000857B4">
      <w:pPr>
        <w:pStyle w:val="Prrafodelista"/>
        <w:jc w:val="both"/>
      </w:pPr>
    </w:p>
    <w:p w:rsidR="000857B4" w:rsidRDefault="000857B4" w:rsidP="000857B4">
      <w:pPr>
        <w:jc w:val="both"/>
        <w:rPr>
          <w:b/>
          <w:i/>
          <w:color w:val="00B050"/>
        </w:rPr>
      </w:pPr>
      <w:r w:rsidRPr="00C06B48">
        <w:rPr>
          <w:b/>
          <w:i/>
          <w:color w:val="00B050"/>
        </w:rPr>
        <w:t>G03GA02 GONADOTROFINA MENOPAUSICA HUMANA</w:t>
      </w:r>
      <w:r w:rsidRPr="002F30B9">
        <w:rPr>
          <w:b/>
          <w:i/>
          <w:color w:val="00B050"/>
        </w:rPr>
        <w:t xml:space="preserve">      </w:t>
      </w:r>
    </w:p>
    <w:p w:rsidR="000857B4" w:rsidRDefault="000857B4" w:rsidP="000857B4">
      <w:pPr>
        <w:pStyle w:val="Prrafodelista"/>
        <w:numPr>
          <w:ilvl w:val="0"/>
          <w:numId w:val="1"/>
        </w:numPr>
        <w:jc w:val="both"/>
      </w:pPr>
      <w:r w:rsidRPr="004D3FDA">
        <w:t xml:space="preserve">Pacientes varones con </w:t>
      </w:r>
      <w:proofErr w:type="spellStart"/>
      <w:r w:rsidRPr="004D3FDA">
        <w:t>hipogonadismo</w:t>
      </w:r>
      <w:proofErr w:type="spellEnd"/>
      <w:r w:rsidRPr="004D3FDA">
        <w:t xml:space="preserve"> </w:t>
      </w:r>
      <w:proofErr w:type="spellStart"/>
      <w:r w:rsidRPr="004D3FDA">
        <w:t>hipogonadotrófico</w:t>
      </w:r>
      <w:proofErr w:type="spellEnd"/>
      <w:r w:rsidRPr="004D3FDA">
        <w:t xml:space="preserve">. </w:t>
      </w:r>
    </w:p>
    <w:p w:rsidR="000857B4" w:rsidRDefault="000857B4" w:rsidP="000857B4">
      <w:pPr>
        <w:pStyle w:val="Prrafodelista"/>
        <w:numPr>
          <w:ilvl w:val="0"/>
          <w:numId w:val="1"/>
        </w:numPr>
        <w:jc w:val="both"/>
      </w:pPr>
      <w:r w:rsidRPr="004D3FDA">
        <w:t xml:space="preserve">Anovulación secundaria a déficit funcional hipofisario. </w:t>
      </w:r>
    </w:p>
    <w:p w:rsidR="000857B4" w:rsidRDefault="000857B4" w:rsidP="000857B4">
      <w:pPr>
        <w:pStyle w:val="Prrafodelista"/>
        <w:jc w:val="both"/>
      </w:pPr>
      <w:r w:rsidRPr="004D3FDA">
        <w:rPr>
          <w:u w:val="single"/>
        </w:rPr>
        <w:t>Dosis:</w:t>
      </w:r>
      <w:r w:rsidRPr="004D3FDA">
        <w:t xml:space="preserve"> 75 unidades / día por 7-12 días seguido de 5000-10000 unidades IM de GND coriónica.</w:t>
      </w:r>
    </w:p>
    <w:p w:rsidR="000857B4" w:rsidRPr="00B1108B" w:rsidRDefault="000857B4" w:rsidP="000857B4">
      <w:pPr>
        <w:tabs>
          <w:tab w:val="left" w:pos="1320"/>
        </w:tabs>
        <w:ind w:left="113"/>
        <w:rPr>
          <w:rFonts w:ascii="Verdana" w:hAnsi="Verdana" w:cs="Arial"/>
        </w:rPr>
      </w:pPr>
    </w:p>
    <w:p w:rsidR="000857B4" w:rsidRPr="000857B4" w:rsidRDefault="000857B4" w:rsidP="000857B4">
      <w:pPr>
        <w:tabs>
          <w:tab w:val="left" w:pos="1320"/>
        </w:tabs>
        <w:ind w:left="113"/>
        <w:rPr>
          <w:rFonts w:cs="Arial"/>
          <w:b/>
          <w:i/>
          <w:color w:val="00B050"/>
        </w:rPr>
      </w:pPr>
      <w:r w:rsidRPr="000857B4">
        <w:rPr>
          <w:rFonts w:cs="Arial"/>
          <w:b/>
          <w:i/>
          <w:color w:val="00B050"/>
        </w:rPr>
        <w:t>G03GB</w:t>
      </w:r>
      <w:r w:rsidRPr="000857B4">
        <w:rPr>
          <w:rFonts w:cs="Arial"/>
          <w:b/>
          <w:i/>
          <w:color w:val="00B050"/>
        </w:rPr>
        <w:tab/>
        <w:t>ESTIMULANTES SINTETICOS DE LA OVULACION</w:t>
      </w:r>
    </w:p>
    <w:p w:rsidR="000857B4" w:rsidRPr="000857B4" w:rsidRDefault="000857B4" w:rsidP="000857B4">
      <w:pPr>
        <w:tabs>
          <w:tab w:val="left" w:pos="1320"/>
        </w:tabs>
        <w:ind w:left="113"/>
        <w:rPr>
          <w:rFonts w:cs="Arial"/>
          <w:b/>
          <w:i/>
          <w:color w:val="00B050"/>
        </w:rPr>
      </w:pPr>
      <w:r w:rsidRPr="000857B4">
        <w:rPr>
          <w:rFonts w:cs="Arial"/>
          <w:b/>
          <w:i/>
          <w:color w:val="00B050"/>
        </w:rPr>
        <w:t>G03GB02</w:t>
      </w:r>
      <w:r w:rsidRPr="000857B4">
        <w:rPr>
          <w:rFonts w:cs="Arial"/>
          <w:b/>
          <w:i/>
          <w:color w:val="00B050"/>
        </w:rPr>
        <w:tab/>
        <w:t xml:space="preserve">CLOMIFENO CITRATO </w:t>
      </w:r>
    </w:p>
    <w:p w:rsidR="000857B4" w:rsidRPr="000857B4" w:rsidRDefault="000857B4" w:rsidP="00396EBC">
      <w:pPr>
        <w:numPr>
          <w:ilvl w:val="0"/>
          <w:numId w:val="40"/>
        </w:numPr>
        <w:spacing w:after="0" w:line="240" w:lineRule="auto"/>
        <w:jc w:val="both"/>
        <w:rPr>
          <w:snapToGrid w:val="0"/>
        </w:rPr>
      </w:pPr>
      <w:r w:rsidRPr="000857B4">
        <w:rPr>
          <w:snapToGrid w:val="0"/>
        </w:rPr>
        <w:t xml:space="preserve">Infertilidad femenina de tipo anovulatoria debida a </w:t>
      </w:r>
      <w:proofErr w:type="spellStart"/>
      <w:r w:rsidRPr="000857B4">
        <w:rPr>
          <w:snapToGrid w:val="0"/>
        </w:rPr>
        <w:t>oligomenorrea</w:t>
      </w:r>
      <w:proofErr w:type="spellEnd"/>
      <w:r w:rsidRPr="000857B4">
        <w:rPr>
          <w:snapToGrid w:val="0"/>
        </w:rPr>
        <w:t xml:space="preserve"> o amenorrea secundaria de tres meses consecutivos de duración.</w:t>
      </w:r>
    </w:p>
    <w:p w:rsidR="000857B4" w:rsidRPr="000857B4" w:rsidRDefault="000857B4" w:rsidP="000857B4">
      <w:pPr>
        <w:tabs>
          <w:tab w:val="num" w:pos="720"/>
        </w:tabs>
        <w:ind w:left="720" w:hanging="360"/>
        <w:jc w:val="both"/>
        <w:rPr>
          <w:snapToGrid w:val="0"/>
        </w:rPr>
      </w:pPr>
      <w:r w:rsidRPr="000857B4">
        <w:rPr>
          <w:snapToGrid w:val="0"/>
          <w:u w:val="single"/>
        </w:rPr>
        <w:t>Dosis:</w:t>
      </w:r>
      <w:r w:rsidRPr="000857B4">
        <w:rPr>
          <w:snapToGrid w:val="0"/>
        </w:rPr>
        <w:t xml:space="preserve"> 50-100 mg/día por 5 días. Ante fallo se pude repetir por 2-3 </w:t>
      </w:r>
    </w:p>
    <w:p w:rsidR="000857B4" w:rsidRPr="000857B4" w:rsidRDefault="000857B4" w:rsidP="000857B4">
      <w:pPr>
        <w:tabs>
          <w:tab w:val="num" w:pos="720"/>
        </w:tabs>
        <w:ind w:left="720" w:hanging="360"/>
        <w:jc w:val="both"/>
        <w:rPr>
          <w:snapToGrid w:val="0"/>
        </w:rPr>
      </w:pPr>
      <w:r w:rsidRPr="000857B4">
        <w:rPr>
          <w:snapToGrid w:val="0"/>
        </w:rPr>
        <w:t xml:space="preserve">          </w:t>
      </w:r>
      <w:proofErr w:type="gramStart"/>
      <w:r w:rsidRPr="000857B4">
        <w:rPr>
          <w:snapToGrid w:val="0"/>
        </w:rPr>
        <w:t>ciclos</w:t>
      </w:r>
      <w:proofErr w:type="gramEnd"/>
      <w:r w:rsidRPr="000857B4">
        <w:rPr>
          <w:snapToGrid w:val="0"/>
        </w:rPr>
        <w:t>.</w:t>
      </w:r>
    </w:p>
    <w:p w:rsidR="000857B4" w:rsidRPr="000857B4" w:rsidRDefault="000857B4" w:rsidP="000857B4">
      <w:pPr>
        <w:tabs>
          <w:tab w:val="num" w:pos="720"/>
        </w:tabs>
        <w:ind w:left="720" w:hanging="360"/>
        <w:jc w:val="both"/>
        <w:rPr>
          <w:snapToGrid w:val="0"/>
        </w:rPr>
      </w:pPr>
    </w:p>
    <w:p w:rsidR="000857B4" w:rsidRPr="00413C2B" w:rsidRDefault="000857B4" w:rsidP="000857B4">
      <w:pPr>
        <w:tabs>
          <w:tab w:val="left" w:pos="1320"/>
        </w:tabs>
        <w:ind w:left="113"/>
        <w:rPr>
          <w:rFonts w:cs="Arial"/>
          <w:b/>
          <w:i/>
          <w:color w:val="00B050"/>
        </w:rPr>
      </w:pPr>
      <w:r w:rsidRPr="00413C2B">
        <w:rPr>
          <w:rFonts w:cs="Arial"/>
          <w:b/>
          <w:i/>
          <w:color w:val="00B050"/>
        </w:rPr>
        <w:t>G03XA</w:t>
      </w:r>
      <w:r w:rsidRPr="00413C2B">
        <w:rPr>
          <w:rFonts w:cs="Arial"/>
          <w:b/>
          <w:i/>
          <w:color w:val="00B050"/>
        </w:rPr>
        <w:tab/>
        <w:t>ANTIGONADOTROFINAS Y AGENTES SIMILARES</w:t>
      </w:r>
    </w:p>
    <w:p w:rsidR="000857B4" w:rsidRPr="000857B4" w:rsidRDefault="000857B4" w:rsidP="000857B4">
      <w:pPr>
        <w:tabs>
          <w:tab w:val="left" w:pos="1320"/>
        </w:tabs>
        <w:ind w:left="113"/>
        <w:rPr>
          <w:rFonts w:cs="Arial"/>
          <w:i/>
          <w:color w:val="00B050"/>
        </w:rPr>
      </w:pPr>
      <w:r w:rsidRPr="00413C2B">
        <w:rPr>
          <w:rFonts w:cs="Arial"/>
          <w:b/>
          <w:i/>
          <w:color w:val="00B050"/>
        </w:rPr>
        <w:t>G03XA01</w:t>
      </w:r>
      <w:r w:rsidRPr="000857B4">
        <w:rPr>
          <w:rFonts w:cs="Arial"/>
          <w:i/>
          <w:color w:val="00B050"/>
        </w:rPr>
        <w:tab/>
      </w:r>
      <w:r w:rsidRPr="000857B4">
        <w:rPr>
          <w:rFonts w:cs="Arial"/>
          <w:b/>
          <w:i/>
          <w:color w:val="00B050"/>
        </w:rPr>
        <w:t>DANAZOL</w:t>
      </w:r>
    </w:p>
    <w:p w:rsidR="000857B4" w:rsidRPr="000857B4" w:rsidRDefault="000857B4" w:rsidP="00396EBC">
      <w:pPr>
        <w:numPr>
          <w:ilvl w:val="0"/>
          <w:numId w:val="40"/>
        </w:numPr>
        <w:spacing w:after="0" w:line="240" w:lineRule="auto"/>
        <w:jc w:val="both"/>
        <w:rPr>
          <w:snapToGrid w:val="0"/>
        </w:rPr>
      </w:pPr>
      <w:r w:rsidRPr="000857B4">
        <w:rPr>
          <w:snapToGrid w:val="0"/>
        </w:rPr>
        <w:t xml:space="preserve">Pacientes con anemia hemolítica autoinmune que no responde a glucocorticoides en dosis apropiadas (equivalente a </w:t>
      </w:r>
      <w:smartTag w:uri="urn:schemas-microsoft-com:office:smarttags" w:element="metricconverter">
        <w:smartTagPr>
          <w:attr w:name="ProductID" w:val="40 a"/>
        </w:smartTagPr>
        <w:r w:rsidRPr="000857B4">
          <w:rPr>
            <w:snapToGrid w:val="0"/>
          </w:rPr>
          <w:t>40 a</w:t>
        </w:r>
      </w:smartTag>
      <w:r w:rsidRPr="000857B4">
        <w:rPr>
          <w:snapToGrid w:val="0"/>
        </w:rPr>
        <w:t xml:space="preserve"> 60 mg/m2 de </w:t>
      </w:r>
      <w:proofErr w:type="spellStart"/>
      <w:r w:rsidRPr="000857B4">
        <w:rPr>
          <w:snapToGrid w:val="0"/>
        </w:rPr>
        <w:t>metilprednisona</w:t>
      </w:r>
      <w:proofErr w:type="spellEnd"/>
      <w:r w:rsidRPr="000857B4">
        <w:rPr>
          <w:snapToGrid w:val="0"/>
        </w:rPr>
        <w:t>), esplenectomía e inmunosupresores. Dosis: 600-800 mg/día en 2 tomas.</w:t>
      </w:r>
    </w:p>
    <w:p w:rsidR="000857B4" w:rsidRPr="000857B4" w:rsidRDefault="000857B4" w:rsidP="00396EBC">
      <w:pPr>
        <w:numPr>
          <w:ilvl w:val="0"/>
          <w:numId w:val="40"/>
        </w:numPr>
        <w:spacing w:after="0" w:line="240" w:lineRule="auto"/>
        <w:jc w:val="both"/>
        <w:rPr>
          <w:snapToGrid w:val="0"/>
        </w:rPr>
      </w:pPr>
      <w:r w:rsidRPr="000857B4">
        <w:rPr>
          <w:snapToGrid w:val="0"/>
        </w:rPr>
        <w:t xml:space="preserve">Pacientes con púrpura </w:t>
      </w:r>
      <w:proofErr w:type="spellStart"/>
      <w:r w:rsidRPr="000857B4">
        <w:rPr>
          <w:snapToGrid w:val="0"/>
        </w:rPr>
        <w:t>trombocitopénica</w:t>
      </w:r>
      <w:proofErr w:type="spellEnd"/>
      <w:r w:rsidRPr="000857B4">
        <w:rPr>
          <w:snapToGrid w:val="0"/>
        </w:rPr>
        <w:t xml:space="preserve"> idiopática que no responde a glucocorticoides en dosis apropiadas (equivalente a </w:t>
      </w:r>
      <w:smartTag w:uri="urn:schemas-microsoft-com:office:smarttags" w:element="metricconverter">
        <w:smartTagPr>
          <w:attr w:name="ProductID" w:val="1,5 a"/>
        </w:smartTagPr>
        <w:r w:rsidRPr="000857B4">
          <w:rPr>
            <w:snapToGrid w:val="0"/>
          </w:rPr>
          <w:t>1,5 a</w:t>
        </w:r>
      </w:smartTag>
      <w:r w:rsidRPr="000857B4">
        <w:rPr>
          <w:snapToGrid w:val="0"/>
        </w:rPr>
        <w:t xml:space="preserve"> 2 mg/kg de </w:t>
      </w:r>
      <w:proofErr w:type="spellStart"/>
      <w:r w:rsidRPr="000857B4">
        <w:rPr>
          <w:snapToGrid w:val="0"/>
        </w:rPr>
        <w:t>metilprednisona</w:t>
      </w:r>
      <w:proofErr w:type="spellEnd"/>
      <w:r w:rsidRPr="000857B4">
        <w:rPr>
          <w:snapToGrid w:val="0"/>
        </w:rPr>
        <w:t>) y esplenectomía</w:t>
      </w:r>
      <w:r w:rsidRPr="000857B4">
        <w:rPr>
          <w:i/>
          <w:snapToGrid w:val="0"/>
        </w:rPr>
        <w:t xml:space="preserve">. </w:t>
      </w:r>
      <w:r w:rsidRPr="000857B4">
        <w:rPr>
          <w:snapToGrid w:val="0"/>
        </w:rPr>
        <w:t>Dosis: 200-800 mg/día en 2 tomas.</w:t>
      </w:r>
    </w:p>
    <w:p w:rsidR="000857B4" w:rsidRPr="000857B4" w:rsidRDefault="000857B4" w:rsidP="00396EBC">
      <w:pPr>
        <w:numPr>
          <w:ilvl w:val="0"/>
          <w:numId w:val="40"/>
        </w:numPr>
        <w:spacing w:after="0" w:line="240" w:lineRule="auto"/>
        <w:jc w:val="both"/>
        <w:rPr>
          <w:snapToGrid w:val="0"/>
        </w:rPr>
      </w:pPr>
      <w:r w:rsidRPr="000857B4">
        <w:rPr>
          <w:snapToGrid w:val="0"/>
        </w:rPr>
        <w:t xml:space="preserve">Pacientes con endometriosis pelviana dolorosa que no responde a asociaciones de estrógenos y progestágenos o </w:t>
      </w:r>
      <w:proofErr w:type="spellStart"/>
      <w:r w:rsidRPr="000857B4">
        <w:rPr>
          <w:snapToGrid w:val="0"/>
        </w:rPr>
        <w:t>medroxiprogesterona</w:t>
      </w:r>
      <w:proofErr w:type="spellEnd"/>
      <w:r w:rsidRPr="000857B4">
        <w:rPr>
          <w:snapToGrid w:val="0"/>
        </w:rPr>
        <w:t xml:space="preserve"> </w:t>
      </w:r>
      <w:smartTag w:uri="urn:schemas-microsoft-com:office:smarttags" w:element="metricconverter">
        <w:smartTagPr>
          <w:attr w:name="ProductID" w:val="10 a"/>
        </w:smartTagPr>
        <w:r w:rsidRPr="000857B4">
          <w:rPr>
            <w:snapToGrid w:val="0"/>
          </w:rPr>
          <w:t>10 a</w:t>
        </w:r>
      </w:smartTag>
      <w:r w:rsidRPr="000857B4">
        <w:rPr>
          <w:snapToGrid w:val="0"/>
        </w:rPr>
        <w:t xml:space="preserve"> 30 mg/día. Dosis: 200-800 mg/día en 2 tomas.</w:t>
      </w:r>
    </w:p>
    <w:p w:rsidR="000857B4" w:rsidRPr="000857B4" w:rsidRDefault="000857B4" w:rsidP="00396EBC">
      <w:pPr>
        <w:numPr>
          <w:ilvl w:val="0"/>
          <w:numId w:val="40"/>
        </w:numPr>
        <w:spacing w:after="0" w:line="240" w:lineRule="auto"/>
        <w:jc w:val="both"/>
        <w:rPr>
          <w:snapToGrid w:val="0"/>
        </w:rPr>
      </w:pPr>
      <w:r w:rsidRPr="000857B4">
        <w:rPr>
          <w:snapToGrid w:val="0"/>
        </w:rPr>
        <w:lastRenderedPageBreak/>
        <w:t xml:space="preserve">Pacientes con </w:t>
      </w:r>
      <w:proofErr w:type="spellStart"/>
      <w:r w:rsidRPr="000857B4">
        <w:rPr>
          <w:snapToGrid w:val="0"/>
        </w:rPr>
        <w:t>angioedema</w:t>
      </w:r>
      <w:proofErr w:type="spellEnd"/>
      <w:r w:rsidRPr="000857B4">
        <w:rPr>
          <w:snapToGrid w:val="0"/>
        </w:rPr>
        <w:t xml:space="preserve"> hereditario en todas sus formas para prevención y/o tratamiento. Dosis: 200-400 mg/día en 2 tomas.</w:t>
      </w:r>
    </w:p>
    <w:p w:rsidR="000857B4" w:rsidRPr="000857B4" w:rsidRDefault="000857B4" w:rsidP="000857B4">
      <w:pPr>
        <w:tabs>
          <w:tab w:val="left" w:pos="1320"/>
        </w:tabs>
        <w:ind w:left="113"/>
        <w:rPr>
          <w:rFonts w:cs="Arial"/>
        </w:rPr>
      </w:pPr>
    </w:p>
    <w:p w:rsidR="000857B4" w:rsidRPr="000857B4" w:rsidRDefault="000857B4" w:rsidP="000857B4">
      <w:pPr>
        <w:tabs>
          <w:tab w:val="left" w:pos="1320"/>
        </w:tabs>
        <w:ind w:left="113"/>
        <w:rPr>
          <w:rFonts w:cs="Arial"/>
          <w:b/>
          <w:i/>
          <w:color w:val="00B050"/>
        </w:rPr>
      </w:pPr>
      <w:r w:rsidRPr="000857B4">
        <w:rPr>
          <w:rFonts w:cs="Arial"/>
          <w:b/>
          <w:i/>
          <w:color w:val="00B050"/>
        </w:rPr>
        <w:t>G03XC</w:t>
      </w:r>
      <w:r w:rsidRPr="000857B4">
        <w:rPr>
          <w:rFonts w:cs="Arial"/>
          <w:b/>
          <w:i/>
          <w:color w:val="00B050"/>
        </w:rPr>
        <w:tab/>
        <w:t>MODULADORES SELECTIVOS DEL RECEPTOR DE ESTROGENOS</w:t>
      </w:r>
    </w:p>
    <w:p w:rsidR="000857B4" w:rsidRPr="000857B4" w:rsidRDefault="000857B4" w:rsidP="000857B4">
      <w:pPr>
        <w:tabs>
          <w:tab w:val="left" w:pos="1320"/>
        </w:tabs>
        <w:ind w:left="113"/>
        <w:rPr>
          <w:rFonts w:cs="Arial"/>
          <w:b/>
          <w:i/>
          <w:color w:val="00B050"/>
        </w:rPr>
      </w:pPr>
      <w:r w:rsidRPr="000857B4">
        <w:rPr>
          <w:rFonts w:cs="Arial"/>
          <w:b/>
          <w:i/>
          <w:color w:val="00B050"/>
        </w:rPr>
        <w:t>G03XC01</w:t>
      </w:r>
      <w:r w:rsidRPr="000857B4">
        <w:rPr>
          <w:rFonts w:cs="Arial"/>
          <w:b/>
          <w:i/>
          <w:color w:val="00B050"/>
        </w:rPr>
        <w:tab/>
        <w:t xml:space="preserve">RALOXIFENO CLORHIDRATO </w:t>
      </w:r>
    </w:p>
    <w:p w:rsidR="000857B4" w:rsidRPr="000857B4" w:rsidRDefault="000857B4" w:rsidP="00396EBC">
      <w:pPr>
        <w:numPr>
          <w:ilvl w:val="0"/>
          <w:numId w:val="41"/>
        </w:numPr>
        <w:spacing w:after="0" w:line="240" w:lineRule="auto"/>
        <w:jc w:val="both"/>
        <w:rPr>
          <w:snapToGrid w:val="0"/>
        </w:rPr>
      </w:pPr>
      <w:r w:rsidRPr="000857B4">
        <w:rPr>
          <w:snapToGrid w:val="0"/>
        </w:rPr>
        <w:t xml:space="preserve">Pacientes con osteoporosis posmenopáusica establecida (DMO) y con antecedentes de fracturas vertebrales. Dosis: 60 –120 mg/día en 1 o 2 tomas.                                                                                                                                                                                                                        </w:t>
      </w:r>
    </w:p>
    <w:p w:rsidR="000857B4" w:rsidRPr="000857B4" w:rsidRDefault="000857B4" w:rsidP="00396EBC">
      <w:pPr>
        <w:numPr>
          <w:ilvl w:val="0"/>
          <w:numId w:val="41"/>
        </w:numPr>
        <w:spacing w:after="0" w:line="240" w:lineRule="auto"/>
        <w:jc w:val="both"/>
        <w:rPr>
          <w:rFonts w:cs="Arial"/>
        </w:rPr>
      </w:pPr>
      <w:r w:rsidRPr="000857B4">
        <w:rPr>
          <w:snapToGrid w:val="0"/>
        </w:rPr>
        <w:t xml:space="preserve">Pacientes con osteoporosis postmenopáusica documentada (DMO) con fallo o intolerancia a calcio + vitamina D. Dosis: 60 mg/día en una sola toma. </w:t>
      </w:r>
    </w:p>
    <w:p w:rsidR="000857B4" w:rsidRPr="000857B4" w:rsidRDefault="000857B4" w:rsidP="00396EBC">
      <w:pPr>
        <w:numPr>
          <w:ilvl w:val="0"/>
          <w:numId w:val="41"/>
        </w:numPr>
        <w:spacing w:after="0" w:line="240" w:lineRule="auto"/>
        <w:jc w:val="both"/>
        <w:rPr>
          <w:rFonts w:cs="Arial"/>
        </w:rPr>
      </w:pPr>
      <w:r w:rsidRPr="000857B4">
        <w:rPr>
          <w:snapToGrid w:val="0"/>
        </w:rPr>
        <w:t xml:space="preserve">Profilaxis de osteoporosis como 3ª opción terapéutica en pacientes con contraindicación al uso de estrógenos y fallo o intolerancia a calcio + vitamina D. Dosis: 60 mg/día en una sola toma. </w:t>
      </w:r>
    </w:p>
    <w:p w:rsidR="000857B4" w:rsidRPr="000857B4" w:rsidRDefault="000857B4" w:rsidP="000857B4">
      <w:pPr>
        <w:tabs>
          <w:tab w:val="num" w:pos="720"/>
        </w:tabs>
        <w:ind w:left="720" w:hanging="360"/>
        <w:jc w:val="both"/>
        <w:rPr>
          <w:rFonts w:cs="Arial"/>
        </w:rPr>
      </w:pPr>
      <w:r w:rsidRPr="000857B4">
        <w:rPr>
          <w:snapToGrid w:val="0"/>
          <w:u w:val="single"/>
        </w:rPr>
        <w:t>Nota:</w:t>
      </w:r>
      <w:r w:rsidRPr="000857B4">
        <w:rPr>
          <w:snapToGrid w:val="0"/>
        </w:rPr>
        <w:t xml:space="preserve"> los beneficios de reducción del riesgo de padecer cáncer de mama invasivo (con receptores </w:t>
      </w:r>
      <w:proofErr w:type="spellStart"/>
      <w:r w:rsidRPr="000857B4">
        <w:rPr>
          <w:snapToGrid w:val="0"/>
        </w:rPr>
        <w:t>estrogénicos</w:t>
      </w:r>
      <w:proofErr w:type="spellEnd"/>
      <w:r w:rsidRPr="000857B4">
        <w:rPr>
          <w:snapToGrid w:val="0"/>
        </w:rPr>
        <w:t xml:space="preserve"> +) y la reducción de fracturas confirmados para </w:t>
      </w:r>
      <w:proofErr w:type="spellStart"/>
      <w:r w:rsidRPr="000857B4">
        <w:rPr>
          <w:snapToGrid w:val="0"/>
        </w:rPr>
        <w:t>raloxifeno</w:t>
      </w:r>
      <w:proofErr w:type="spellEnd"/>
      <w:r w:rsidRPr="000857B4">
        <w:rPr>
          <w:snapToGrid w:val="0"/>
        </w:rPr>
        <w:t xml:space="preserve"> deberán sopesarse con el incremento significativo del riesgo de </w:t>
      </w:r>
      <w:proofErr w:type="spellStart"/>
      <w:r w:rsidRPr="000857B4">
        <w:rPr>
          <w:snapToGrid w:val="0"/>
        </w:rPr>
        <w:t>tromboembolismo</w:t>
      </w:r>
      <w:proofErr w:type="spellEnd"/>
      <w:r w:rsidRPr="000857B4">
        <w:rPr>
          <w:snapToGrid w:val="0"/>
        </w:rPr>
        <w:t xml:space="preserve"> y ACV mortal verificadas entre 10.101 mujeres seguidas durante 5,6 años promedio, en un ensayo clínico controlado (ECC) contra placebo, </w:t>
      </w:r>
      <w:proofErr w:type="spellStart"/>
      <w:r w:rsidRPr="000857B4">
        <w:rPr>
          <w:snapToGrid w:val="0"/>
        </w:rPr>
        <w:t>randomizado</w:t>
      </w:r>
      <w:proofErr w:type="spellEnd"/>
      <w:r w:rsidRPr="000857B4">
        <w:rPr>
          <w:snapToGrid w:val="0"/>
        </w:rPr>
        <w:t xml:space="preserve"> y doble ciego publicado.         </w:t>
      </w:r>
    </w:p>
    <w:p w:rsidR="000857B4" w:rsidRPr="000857B4" w:rsidRDefault="000857B4" w:rsidP="000857B4">
      <w:pPr>
        <w:tabs>
          <w:tab w:val="left" w:pos="1320"/>
        </w:tabs>
        <w:ind w:left="113"/>
        <w:rPr>
          <w:rFonts w:cs="Arial"/>
        </w:rPr>
      </w:pPr>
    </w:p>
    <w:p w:rsidR="000857B4" w:rsidRPr="000857B4" w:rsidRDefault="000857B4" w:rsidP="000857B4">
      <w:pPr>
        <w:tabs>
          <w:tab w:val="left" w:pos="1320"/>
        </w:tabs>
        <w:ind w:left="113"/>
        <w:rPr>
          <w:rFonts w:cs="Arial"/>
          <w:b/>
          <w:i/>
          <w:color w:val="00B050"/>
        </w:rPr>
      </w:pPr>
      <w:r w:rsidRPr="000857B4">
        <w:rPr>
          <w:rFonts w:cs="Arial"/>
          <w:b/>
          <w:i/>
          <w:color w:val="00B050"/>
        </w:rPr>
        <w:t>G04BD</w:t>
      </w:r>
      <w:r w:rsidRPr="000857B4">
        <w:rPr>
          <w:rFonts w:cs="Arial"/>
          <w:b/>
          <w:i/>
          <w:color w:val="00B050"/>
        </w:rPr>
        <w:tab/>
        <w:t>ANTIESPASMODICOS URINARIOS</w:t>
      </w:r>
    </w:p>
    <w:p w:rsidR="000857B4" w:rsidRPr="000857B4" w:rsidRDefault="000857B4" w:rsidP="000857B4">
      <w:pPr>
        <w:tabs>
          <w:tab w:val="left" w:pos="1320"/>
        </w:tabs>
        <w:ind w:left="113"/>
        <w:rPr>
          <w:rFonts w:cs="Arial"/>
          <w:b/>
          <w:i/>
          <w:color w:val="00B050"/>
        </w:rPr>
      </w:pPr>
      <w:r w:rsidRPr="000857B4">
        <w:rPr>
          <w:rFonts w:cs="Arial"/>
          <w:b/>
          <w:i/>
          <w:color w:val="00B050"/>
        </w:rPr>
        <w:t>G04BD04</w:t>
      </w:r>
      <w:r w:rsidRPr="000857B4">
        <w:rPr>
          <w:rFonts w:cs="Arial"/>
          <w:b/>
          <w:i/>
          <w:color w:val="00B050"/>
        </w:rPr>
        <w:tab/>
        <w:t xml:space="preserve"> OXIBUTININA  </w:t>
      </w:r>
    </w:p>
    <w:p w:rsidR="000857B4" w:rsidRPr="000857B4" w:rsidRDefault="000857B4" w:rsidP="00396EBC">
      <w:pPr>
        <w:numPr>
          <w:ilvl w:val="0"/>
          <w:numId w:val="42"/>
        </w:numPr>
        <w:spacing w:after="0" w:line="240" w:lineRule="auto"/>
        <w:jc w:val="both"/>
        <w:rPr>
          <w:snapToGrid w:val="0"/>
        </w:rPr>
      </w:pPr>
      <w:r w:rsidRPr="000857B4">
        <w:rPr>
          <w:snapToGrid w:val="0"/>
        </w:rPr>
        <w:t>Pacientes con incontinencia de orina tipo urgencia miccional.</w:t>
      </w:r>
    </w:p>
    <w:p w:rsidR="000857B4" w:rsidRPr="000857B4" w:rsidRDefault="000857B4" w:rsidP="00396EBC">
      <w:pPr>
        <w:numPr>
          <w:ilvl w:val="0"/>
          <w:numId w:val="42"/>
        </w:numPr>
        <w:spacing w:after="0" w:line="240" w:lineRule="auto"/>
        <w:jc w:val="both"/>
        <w:rPr>
          <w:snapToGrid w:val="0"/>
        </w:rPr>
      </w:pPr>
      <w:r w:rsidRPr="000857B4">
        <w:rPr>
          <w:snapToGrid w:val="0"/>
        </w:rPr>
        <w:t xml:space="preserve">Vejiga </w:t>
      </w:r>
      <w:proofErr w:type="spellStart"/>
      <w:r w:rsidRPr="000857B4">
        <w:rPr>
          <w:snapToGrid w:val="0"/>
        </w:rPr>
        <w:t>neurogénica</w:t>
      </w:r>
      <w:proofErr w:type="spellEnd"/>
      <w:r w:rsidRPr="000857B4">
        <w:rPr>
          <w:snapToGrid w:val="0"/>
        </w:rPr>
        <w:t xml:space="preserve"> con incontinencia con contracciones no inhibidas.</w:t>
      </w:r>
    </w:p>
    <w:p w:rsidR="000857B4" w:rsidRPr="000857B4" w:rsidRDefault="000857B4" w:rsidP="000857B4">
      <w:pPr>
        <w:tabs>
          <w:tab w:val="num" w:pos="720"/>
        </w:tabs>
        <w:ind w:left="720" w:hanging="360"/>
        <w:jc w:val="both"/>
        <w:rPr>
          <w:snapToGrid w:val="0"/>
        </w:rPr>
      </w:pPr>
      <w:r w:rsidRPr="000857B4">
        <w:rPr>
          <w:snapToGrid w:val="0"/>
          <w:u w:val="single"/>
        </w:rPr>
        <w:t>Dosis</w:t>
      </w:r>
      <w:r w:rsidRPr="000857B4">
        <w:rPr>
          <w:snapToGrid w:val="0"/>
        </w:rPr>
        <w:t xml:space="preserve">: 5 mg hasta 4 veces al día; en niños mayores de 5 años 5 mg hasta 3 veces al día </w:t>
      </w:r>
    </w:p>
    <w:p w:rsidR="000857B4" w:rsidRPr="000857B4" w:rsidRDefault="000857B4" w:rsidP="000857B4">
      <w:pPr>
        <w:tabs>
          <w:tab w:val="left" w:pos="1320"/>
        </w:tabs>
        <w:ind w:left="113"/>
        <w:rPr>
          <w:rFonts w:cs="Arial"/>
        </w:rPr>
      </w:pPr>
    </w:p>
    <w:p w:rsidR="000857B4" w:rsidRPr="00413C2B" w:rsidRDefault="000857B4" w:rsidP="000857B4">
      <w:pPr>
        <w:tabs>
          <w:tab w:val="left" w:pos="1320"/>
        </w:tabs>
        <w:ind w:left="113"/>
        <w:rPr>
          <w:rFonts w:cs="Arial"/>
          <w:b/>
          <w:i/>
          <w:color w:val="00B050"/>
        </w:rPr>
      </w:pPr>
      <w:r w:rsidRPr="00413C2B">
        <w:rPr>
          <w:rFonts w:cs="Arial"/>
          <w:b/>
          <w:i/>
          <w:color w:val="00B050"/>
        </w:rPr>
        <w:t>G04C</w:t>
      </w:r>
      <w:r w:rsidRPr="00413C2B">
        <w:rPr>
          <w:rFonts w:cs="Arial"/>
          <w:b/>
          <w:i/>
          <w:color w:val="00B050"/>
        </w:rPr>
        <w:tab/>
        <w:t>DROGAS USADAS EN LA HIPERTROFIA PROSTATICA BENIGNA</w:t>
      </w:r>
    </w:p>
    <w:p w:rsidR="000857B4" w:rsidRPr="00413C2B" w:rsidRDefault="000857B4" w:rsidP="000857B4">
      <w:pPr>
        <w:tabs>
          <w:tab w:val="left" w:pos="1320"/>
        </w:tabs>
        <w:ind w:left="113"/>
        <w:rPr>
          <w:rFonts w:cs="Arial"/>
          <w:b/>
          <w:i/>
          <w:color w:val="00B050"/>
        </w:rPr>
      </w:pPr>
      <w:r w:rsidRPr="00413C2B">
        <w:rPr>
          <w:rFonts w:cs="Arial"/>
          <w:b/>
          <w:i/>
          <w:color w:val="00B050"/>
        </w:rPr>
        <w:t>G04CA</w:t>
      </w:r>
      <w:r w:rsidRPr="00413C2B">
        <w:rPr>
          <w:rFonts w:cs="Arial"/>
          <w:b/>
          <w:i/>
          <w:color w:val="00B050"/>
        </w:rPr>
        <w:tab/>
        <w:t>ANTAGONISTAS DE LOS RECEPTORES ALFA ADRENERGICOS</w:t>
      </w:r>
    </w:p>
    <w:p w:rsidR="00D612E2" w:rsidRPr="00D612E2" w:rsidRDefault="00D612E2" w:rsidP="00D612E2">
      <w:pPr>
        <w:tabs>
          <w:tab w:val="left" w:pos="1161"/>
        </w:tabs>
        <w:ind w:left="50"/>
        <w:rPr>
          <w:rFonts w:cs="Arial"/>
          <w:b/>
          <w:i/>
          <w:color w:val="00B050"/>
        </w:rPr>
      </w:pPr>
      <w:r w:rsidRPr="00D612E2">
        <w:rPr>
          <w:rFonts w:cs="Arial"/>
          <w:b/>
          <w:i/>
          <w:color w:val="00B050"/>
        </w:rPr>
        <w:t>G04CA02</w:t>
      </w:r>
      <w:r w:rsidRPr="00D612E2">
        <w:rPr>
          <w:rFonts w:cs="Arial"/>
          <w:b/>
          <w:i/>
          <w:color w:val="00B050"/>
        </w:rPr>
        <w:tab/>
        <w:t>TAMSULOCINA CLORHIDRATO</w:t>
      </w:r>
    </w:p>
    <w:p w:rsidR="00D612E2" w:rsidRPr="00D612E2" w:rsidRDefault="00D612E2" w:rsidP="00396EBC">
      <w:pPr>
        <w:numPr>
          <w:ilvl w:val="0"/>
          <w:numId w:val="76"/>
        </w:numPr>
        <w:spacing w:after="0" w:line="240" w:lineRule="auto"/>
        <w:jc w:val="both"/>
        <w:rPr>
          <w:rFonts w:cs="Arial"/>
          <w:b/>
        </w:rPr>
      </w:pPr>
      <w:r w:rsidRPr="00D612E2">
        <w:rPr>
          <w:rFonts w:cs="Arial"/>
        </w:rPr>
        <w:t xml:space="preserve">Alternativa de la </w:t>
      </w:r>
      <w:proofErr w:type="spellStart"/>
      <w:r w:rsidRPr="00D612E2">
        <w:rPr>
          <w:rFonts w:cs="Arial"/>
        </w:rPr>
        <w:t>terazocina</w:t>
      </w:r>
      <w:proofErr w:type="spellEnd"/>
      <w:r w:rsidRPr="00D612E2">
        <w:rPr>
          <w:rFonts w:cs="Arial"/>
        </w:rPr>
        <w:t xml:space="preserve"> en pacientes con hipertrofia prostática benigna con alto score de afectación miccional sólo o en tratamiento combinado.</w:t>
      </w:r>
    </w:p>
    <w:p w:rsidR="00D612E2" w:rsidRPr="00D612E2" w:rsidRDefault="00D612E2" w:rsidP="00D612E2">
      <w:pPr>
        <w:tabs>
          <w:tab w:val="num" w:pos="720"/>
        </w:tabs>
        <w:ind w:left="720" w:hanging="360"/>
        <w:rPr>
          <w:rFonts w:cs="Arial"/>
        </w:rPr>
      </w:pPr>
      <w:r w:rsidRPr="00D612E2">
        <w:rPr>
          <w:rFonts w:cs="Arial"/>
          <w:u w:val="single"/>
        </w:rPr>
        <w:t>Dosis</w:t>
      </w:r>
      <w:r w:rsidRPr="00D612E2">
        <w:rPr>
          <w:rFonts w:cs="Arial"/>
        </w:rPr>
        <w:t xml:space="preserve">: 0,4-0,8 mg por día en una o 2 tomas. </w:t>
      </w:r>
    </w:p>
    <w:p w:rsidR="00D612E2" w:rsidRDefault="00D612E2" w:rsidP="000857B4">
      <w:pPr>
        <w:tabs>
          <w:tab w:val="left" w:pos="1320"/>
        </w:tabs>
        <w:ind w:left="113"/>
        <w:rPr>
          <w:rFonts w:cs="Arial"/>
          <w:i/>
          <w:color w:val="00B050"/>
        </w:rPr>
      </w:pPr>
    </w:p>
    <w:p w:rsidR="000857B4" w:rsidRPr="000857B4" w:rsidRDefault="000857B4" w:rsidP="000857B4">
      <w:pPr>
        <w:tabs>
          <w:tab w:val="left" w:pos="1320"/>
        </w:tabs>
        <w:ind w:left="113"/>
        <w:rPr>
          <w:rFonts w:cs="Arial"/>
          <w:b/>
          <w:i/>
          <w:color w:val="00B050"/>
        </w:rPr>
      </w:pPr>
      <w:r w:rsidRPr="00413C2B">
        <w:rPr>
          <w:rFonts w:cs="Arial"/>
          <w:b/>
          <w:i/>
          <w:color w:val="00B050"/>
        </w:rPr>
        <w:t>G04CA03</w:t>
      </w:r>
      <w:r w:rsidRPr="000857B4">
        <w:rPr>
          <w:rFonts w:cs="Arial"/>
          <w:i/>
          <w:color w:val="00B050"/>
        </w:rPr>
        <w:tab/>
      </w:r>
      <w:r w:rsidRPr="000857B4">
        <w:rPr>
          <w:rFonts w:cs="Arial"/>
          <w:b/>
          <w:i/>
          <w:color w:val="00B050"/>
        </w:rPr>
        <w:t xml:space="preserve">TERAZOSINA </w:t>
      </w:r>
    </w:p>
    <w:p w:rsidR="000857B4" w:rsidRPr="000857B4" w:rsidRDefault="000857B4" w:rsidP="00396EBC">
      <w:pPr>
        <w:numPr>
          <w:ilvl w:val="0"/>
          <w:numId w:val="43"/>
        </w:numPr>
        <w:spacing w:after="0" w:line="240" w:lineRule="auto"/>
        <w:jc w:val="both"/>
        <w:rPr>
          <w:snapToGrid w:val="0"/>
        </w:rPr>
      </w:pPr>
      <w:r w:rsidRPr="000857B4">
        <w:rPr>
          <w:snapToGrid w:val="0"/>
        </w:rPr>
        <w:t>Pacientes con hipertrofia benigna de próstata que presentan sintomatología de obstrucción mayor a 7 puntos IPSS.</w:t>
      </w:r>
    </w:p>
    <w:p w:rsidR="000857B4" w:rsidRPr="000857B4" w:rsidRDefault="000857B4" w:rsidP="000857B4">
      <w:pPr>
        <w:tabs>
          <w:tab w:val="num" w:pos="720"/>
        </w:tabs>
        <w:ind w:left="720" w:hanging="360"/>
        <w:jc w:val="both"/>
        <w:rPr>
          <w:snapToGrid w:val="0"/>
        </w:rPr>
      </w:pPr>
      <w:r w:rsidRPr="000857B4">
        <w:rPr>
          <w:snapToGrid w:val="0"/>
          <w:u w:val="single"/>
        </w:rPr>
        <w:t>Dosis</w:t>
      </w:r>
      <w:r w:rsidRPr="000857B4">
        <w:rPr>
          <w:snapToGrid w:val="0"/>
        </w:rPr>
        <w:t>: inicial 1 mg al acostarse; de mantenimiento entre 1-10 mg/día.</w:t>
      </w:r>
    </w:p>
    <w:p w:rsidR="000857B4" w:rsidRPr="000857B4" w:rsidRDefault="000857B4" w:rsidP="000857B4">
      <w:pPr>
        <w:tabs>
          <w:tab w:val="left" w:pos="1320"/>
        </w:tabs>
        <w:ind w:left="113"/>
        <w:rPr>
          <w:rFonts w:cs="Arial"/>
        </w:rPr>
      </w:pPr>
    </w:p>
    <w:p w:rsidR="000857B4" w:rsidRPr="000857B4" w:rsidRDefault="000857B4" w:rsidP="000857B4">
      <w:pPr>
        <w:tabs>
          <w:tab w:val="left" w:pos="1320"/>
        </w:tabs>
        <w:ind w:left="113"/>
        <w:rPr>
          <w:rFonts w:cs="Arial"/>
          <w:b/>
          <w:i/>
          <w:color w:val="00B050"/>
        </w:rPr>
      </w:pPr>
      <w:r w:rsidRPr="000857B4">
        <w:rPr>
          <w:rFonts w:cs="Arial"/>
          <w:b/>
          <w:i/>
          <w:color w:val="00B050"/>
        </w:rPr>
        <w:t>G04CB</w:t>
      </w:r>
      <w:r w:rsidRPr="000857B4">
        <w:rPr>
          <w:rFonts w:cs="Arial"/>
          <w:b/>
          <w:i/>
          <w:color w:val="00B050"/>
        </w:rPr>
        <w:tab/>
        <w:t>INHIBIDORES DE LA TESTOSTERONA-5-ALFA REDUCTASA</w:t>
      </w:r>
    </w:p>
    <w:p w:rsidR="000857B4" w:rsidRPr="000857B4" w:rsidRDefault="000857B4" w:rsidP="000857B4">
      <w:pPr>
        <w:tabs>
          <w:tab w:val="left" w:pos="1320"/>
        </w:tabs>
        <w:ind w:left="113"/>
        <w:rPr>
          <w:rFonts w:cs="Arial"/>
          <w:b/>
          <w:i/>
          <w:color w:val="00B050"/>
        </w:rPr>
      </w:pPr>
      <w:r w:rsidRPr="000857B4">
        <w:rPr>
          <w:rFonts w:cs="Arial"/>
          <w:b/>
          <w:i/>
          <w:color w:val="00B050"/>
        </w:rPr>
        <w:t>G04CB01</w:t>
      </w:r>
      <w:r w:rsidRPr="000857B4">
        <w:rPr>
          <w:rFonts w:cs="Arial"/>
          <w:b/>
          <w:i/>
          <w:color w:val="00B050"/>
        </w:rPr>
        <w:tab/>
        <w:t xml:space="preserve">FINASTERIDE  </w:t>
      </w:r>
    </w:p>
    <w:p w:rsidR="000857B4" w:rsidRPr="000857B4" w:rsidRDefault="000857B4" w:rsidP="00396EBC">
      <w:pPr>
        <w:numPr>
          <w:ilvl w:val="0"/>
          <w:numId w:val="43"/>
        </w:numPr>
        <w:spacing w:after="0" w:line="240" w:lineRule="auto"/>
        <w:jc w:val="both"/>
        <w:rPr>
          <w:snapToGrid w:val="0"/>
        </w:rPr>
      </w:pPr>
      <w:r w:rsidRPr="000857B4">
        <w:rPr>
          <w:snapToGrid w:val="0"/>
        </w:rPr>
        <w:lastRenderedPageBreak/>
        <w:t>Pacientes con hipertrofia benigna de próstata y PSA normal.</w:t>
      </w:r>
    </w:p>
    <w:p w:rsidR="000857B4" w:rsidRPr="000857B4" w:rsidRDefault="000857B4" w:rsidP="000857B4">
      <w:pPr>
        <w:tabs>
          <w:tab w:val="num" w:pos="720"/>
        </w:tabs>
        <w:ind w:left="720" w:hanging="360"/>
        <w:jc w:val="both"/>
        <w:rPr>
          <w:snapToGrid w:val="0"/>
        </w:rPr>
      </w:pPr>
      <w:r w:rsidRPr="000857B4">
        <w:rPr>
          <w:snapToGrid w:val="0"/>
          <w:u w:val="single"/>
        </w:rPr>
        <w:t>Dosis</w:t>
      </w:r>
      <w:r w:rsidRPr="000857B4">
        <w:rPr>
          <w:snapToGrid w:val="0"/>
        </w:rPr>
        <w:t>: 5 mg/día en una sola toma.</w:t>
      </w:r>
    </w:p>
    <w:p w:rsidR="00C06B48" w:rsidRPr="000857B4" w:rsidRDefault="00C06B48" w:rsidP="001F2FAE">
      <w:pPr>
        <w:pStyle w:val="Prrafodelista"/>
        <w:ind w:left="1440"/>
        <w:jc w:val="both"/>
      </w:pPr>
    </w:p>
    <w:p w:rsidR="0000690A" w:rsidRPr="00DB2B24" w:rsidRDefault="0000690A" w:rsidP="00BD4CF1">
      <w:pPr>
        <w:jc w:val="both"/>
        <w:rPr>
          <w:b/>
          <w:i/>
          <w:color w:val="00B050"/>
          <w:lang w:val="pt-BR"/>
        </w:rPr>
      </w:pPr>
      <w:r w:rsidRPr="00C06B48">
        <w:rPr>
          <w:b/>
          <w:i/>
          <w:color w:val="00B050"/>
          <w:lang w:val="pt-BR"/>
        </w:rPr>
        <w:t>H01BA02 DESMOPRESINA ACETATO</w:t>
      </w:r>
    </w:p>
    <w:p w:rsidR="00DB2B24" w:rsidRDefault="00DB2B24" w:rsidP="00DB2B24">
      <w:pPr>
        <w:pStyle w:val="Prrafodelista"/>
        <w:numPr>
          <w:ilvl w:val="0"/>
          <w:numId w:val="1"/>
        </w:numPr>
        <w:jc w:val="both"/>
      </w:pPr>
      <w:r w:rsidRPr="00DB2B24">
        <w:t xml:space="preserve">Diabetes insípida. </w:t>
      </w:r>
    </w:p>
    <w:p w:rsidR="00DB2B24" w:rsidRDefault="00DB2B24" w:rsidP="00DB2B24">
      <w:pPr>
        <w:pStyle w:val="Prrafodelista"/>
        <w:jc w:val="both"/>
      </w:pPr>
      <w:r w:rsidRPr="00DB2B24">
        <w:rPr>
          <w:u w:val="single"/>
        </w:rPr>
        <w:t>Dosis:</w:t>
      </w:r>
      <w:r w:rsidRPr="00DB2B24">
        <w:t xml:space="preserve"> intranasal: 10-40 mcg en administraciones divididas (en spray o en solución); oral: 0,1-08 mcg/día en 2 tomas.</w:t>
      </w:r>
    </w:p>
    <w:p w:rsidR="00DB2B24" w:rsidRDefault="00DB2B24" w:rsidP="00DB2B24">
      <w:pPr>
        <w:pStyle w:val="Prrafodelista"/>
        <w:numPr>
          <w:ilvl w:val="0"/>
          <w:numId w:val="1"/>
        </w:numPr>
        <w:jc w:val="both"/>
      </w:pPr>
      <w:r w:rsidRPr="00DB2B24">
        <w:t>Enfermedad de Von</w:t>
      </w:r>
      <w:r>
        <w:t xml:space="preserve"> </w:t>
      </w:r>
      <w:r w:rsidRPr="00DB2B24">
        <w:t>Willebrand tipo I (leve o moderada) con niveles de factor VIII mayores al 5%: 0,3mcg/kg diluidos en 50 ml de solución fisiológica, en infusión continua endovenosa a pasar en 30 minutos y monitoreo posterior.</w:t>
      </w:r>
    </w:p>
    <w:p w:rsidR="00DB2B24" w:rsidRDefault="00DB2B24" w:rsidP="00DB2B24">
      <w:pPr>
        <w:pStyle w:val="Prrafodelista"/>
        <w:numPr>
          <w:ilvl w:val="0"/>
          <w:numId w:val="1"/>
        </w:numPr>
        <w:jc w:val="both"/>
      </w:pPr>
      <w:r w:rsidRPr="00DB2B24">
        <w:t xml:space="preserve">Hemofilia A, con niveles de factor VIII superiores al 5%. Dosis: 0,3mcg/kg diluidos en 50 ml de solución fisiológica, en infusión continua endovenosa a pasar en 30 minutos y monitoreo posterior. </w:t>
      </w:r>
    </w:p>
    <w:p w:rsidR="0000690A" w:rsidRDefault="00DB2B24" w:rsidP="00DB2B24">
      <w:pPr>
        <w:pStyle w:val="Prrafodelista"/>
        <w:numPr>
          <w:ilvl w:val="0"/>
          <w:numId w:val="1"/>
        </w:numPr>
        <w:jc w:val="both"/>
      </w:pPr>
      <w:r w:rsidRPr="00DB2B24">
        <w:t>Enuresis nocturna primaria, en pacientes asistidos por equipo interdisciplinario que incluya un profesional del área de salud mental. Dosis: intranasal 0,2-0,6 mg /día al acostarse.</w:t>
      </w:r>
    </w:p>
    <w:p w:rsidR="00C06B48" w:rsidRDefault="00C06B48" w:rsidP="00282462">
      <w:pPr>
        <w:pStyle w:val="Prrafodelista"/>
        <w:jc w:val="both"/>
      </w:pPr>
    </w:p>
    <w:tbl>
      <w:tblPr>
        <w:tblW w:w="9060" w:type="dxa"/>
        <w:tblCellMar>
          <w:left w:w="70" w:type="dxa"/>
          <w:right w:w="70" w:type="dxa"/>
        </w:tblCellMar>
        <w:tblLook w:val="04A0" w:firstRow="1" w:lastRow="0" w:firstColumn="1" w:lastColumn="0" w:noHBand="0" w:noVBand="1"/>
      </w:tblPr>
      <w:tblGrid>
        <w:gridCol w:w="1276"/>
        <w:gridCol w:w="7784"/>
      </w:tblGrid>
      <w:tr w:rsidR="00077663" w:rsidRPr="00C06B48" w:rsidTr="00D2117B">
        <w:trPr>
          <w:trHeight w:val="300"/>
        </w:trPr>
        <w:tc>
          <w:tcPr>
            <w:tcW w:w="1276" w:type="dxa"/>
            <w:tcBorders>
              <w:top w:val="nil"/>
              <w:left w:val="nil"/>
              <w:bottom w:val="nil"/>
              <w:right w:val="nil"/>
            </w:tcBorders>
            <w:shd w:val="clear" w:color="auto" w:fill="auto"/>
            <w:noWrap/>
            <w:vAlign w:val="bottom"/>
            <w:hideMark/>
          </w:tcPr>
          <w:p w:rsidR="00077663" w:rsidRPr="000857B4" w:rsidRDefault="00077663" w:rsidP="00D2117B">
            <w:pPr>
              <w:jc w:val="both"/>
              <w:rPr>
                <w:b/>
                <w:i/>
                <w:color w:val="00B050"/>
              </w:rPr>
            </w:pPr>
            <w:r w:rsidRPr="000857B4">
              <w:rPr>
                <w:b/>
                <w:i/>
                <w:color w:val="00B050"/>
              </w:rPr>
              <w:t>H02AB02.A</w:t>
            </w:r>
          </w:p>
        </w:tc>
        <w:tc>
          <w:tcPr>
            <w:tcW w:w="7784" w:type="dxa"/>
            <w:tcBorders>
              <w:top w:val="nil"/>
              <w:left w:val="nil"/>
              <w:bottom w:val="nil"/>
              <w:right w:val="nil"/>
            </w:tcBorders>
            <w:shd w:val="clear" w:color="auto" w:fill="auto"/>
            <w:noWrap/>
            <w:vAlign w:val="center"/>
            <w:hideMark/>
          </w:tcPr>
          <w:p w:rsidR="00077663" w:rsidRPr="000857B4" w:rsidRDefault="00077663" w:rsidP="00D2117B">
            <w:pPr>
              <w:jc w:val="both"/>
              <w:rPr>
                <w:b/>
                <w:i/>
                <w:color w:val="00B050"/>
              </w:rPr>
            </w:pPr>
            <w:r w:rsidRPr="000857B4">
              <w:rPr>
                <w:b/>
                <w:i/>
                <w:color w:val="00B050"/>
              </w:rPr>
              <w:t>DEXAMETASONA 40 mg oral</w:t>
            </w:r>
          </w:p>
        </w:tc>
      </w:tr>
      <w:tr w:rsidR="00077663" w:rsidRPr="00C06B48" w:rsidTr="00D2117B">
        <w:trPr>
          <w:trHeight w:val="300"/>
        </w:trPr>
        <w:tc>
          <w:tcPr>
            <w:tcW w:w="1276" w:type="dxa"/>
            <w:tcBorders>
              <w:top w:val="nil"/>
              <w:left w:val="nil"/>
              <w:bottom w:val="nil"/>
              <w:right w:val="nil"/>
            </w:tcBorders>
            <w:shd w:val="clear" w:color="auto" w:fill="auto"/>
            <w:noWrap/>
            <w:vAlign w:val="center"/>
            <w:hideMark/>
          </w:tcPr>
          <w:p w:rsidR="00077663" w:rsidRPr="000857B4" w:rsidRDefault="00077663" w:rsidP="00D2117B">
            <w:pPr>
              <w:jc w:val="both"/>
              <w:rPr>
                <w:b/>
                <w:i/>
                <w:color w:val="00B050"/>
              </w:rPr>
            </w:pPr>
            <w:r w:rsidRPr="000857B4">
              <w:rPr>
                <w:b/>
                <w:i/>
                <w:color w:val="00B050"/>
              </w:rPr>
              <w:t>H02AB04</w:t>
            </w:r>
          </w:p>
        </w:tc>
        <w:tc>
          <w:tcPr>
            <w:tcW w:w="7784" w:type="dxa"/>
            <w:tcBorders>
              <w:top w:val="nil"/>
              <w:left w:val="nil"/>
              <w:bottom w:val="nil"/>
              <w:right w:val="nil"/>
            </w:tcBorders>
            <w:shd w:val="clear" w:color="auto" w:fill="auto"/>
            <w:noWrap/>
            <w:vAlign w:val="center"/>
            <w:hideMark/>
          </w:tcPr>
          <w:p w:rsidR="00077663" w:rsidRPr="000857B4" w:rsidRDefault="00077663" w:rsidP="00D2117B">
            <w:pPr>
              <w:jc w:val="both"/>
              <w:rPr>
                <w:b/>
                <w:i/>
                <w:color w:val="00B050"/>
              </w:rPr>
            </w:pPr>
            <w:r w:rsidRPr="000857B4">
              <w:rPr>
                <w:b/>
                <w:i/>
                <w:color w:val="00B050"/>
              </w:rPr>
              <w:t>METILPREDNISONA 40 mg oral</w:t>
            </w:r>
          </w:p>
        </w:tc>
      </w:tr>
      <w:tr w:rsidR="00077663" w:rsidRPr="00737917" w:rsidTr="00D2117B">
        <w:trPr>
          <w:trHeight w:val="300"/>
        </w:trPr>
        <w:tc>
          <w:tcPr>
            <w:tcW w:w="1276" w:type="dxa"/>
            <w:tcBorders>
              <w:top w:val="nil"/>
              <w:left w:val="nil"/>
              <w:bottom w:val="nil"/>
              <w:right w:val="nil"/>
            </w:tcBorders>
            <w:shd w:val="clear" w:color="auto" w:fill="auto"/>
            <w:noWrap/>
            <w:vAlign w:val="bottom"/>
            <w:hideMark/>
          </w:tcPr>
          <w:p w:rsidR="00077663" w:rsidRPr="000857B4" w:rsidRDefault="00077663" w:rsidP="00D2117B">
            <w:pPr>
              <w:jc w:val="both"/>
              <w:rPr>
                <w:b/>
                <w:i/>
                <w:color w:val="00B050"/>
              </w:rPr>
            </w:pPr>
            <w:r w:rsidRPr="000857B4">
              <w:rPr>
                <w:b/>
                <w:i/>
                <w:color w:val="00B050"/>
              </w:rPr>
              <w:t>H02AB07</w:t>
            </w:r>
          </w:p>
        </w:tc>
        <w:tc>
          <w:tcPr>
            <w:tcW w:w="7784" w:type="dxa"/>
            <w:tcBorders>
              <w:top w:val="nil"/>
              <w:left w:val="nil"/>
              <w:bottom w:val="nil"/>
              <w:right w:val="nil"/>
            </w:tcBorders>
            <w:shd w:val="clear" w:color="auto" w:fill="auto"/>
            <w:noWrap/>
            <w:vAlign w:val="center"/>
            <w:hideMark/>
          </w:tcPr>
          <w:p w:rsidR="00077663" w:rsidRPr="000857B4" w:rsidRDefault="00077663" w:rsidP="00D2117B">
            <w:pPr>
              <w:jc w:val="both"/>
              <w:rPr>
                <w:b/>
                <w:i/>
                <w:color w:val="00B050"/>
              </w:rPr>
            </w:pPr>
            <w:r w:rsidRPr="000857B4">
              <w:rPr>
                <w:b/>
                <w:i/>
                <w:color w:val="00B050"/>
              </w:rPr>
              <w:t>PREDNISONA 50 mg oral</w:t>
            </w:r>
          </w:p>
        </w:tc>
      </w:tr>
    </w:tbl>
    <w:p w:rsidR="00077663" w:rsidRPr="00C06B48" w:rsidRDefault="00077663" w:rsidP="005A466E">
      <w:pPr>
        <w:pStyle w:val="Prrafodelista"/>
        <w:numPr>
          <w:ilvl w:val="0"/>
          <w:numId w:val="6"/>
        </w:numPr>
        <w:jc w:val="both"/>
        <w:rPr>
          <w:b/>
          <w:i/>
        </w:rPr>
      </w:pPr>
      <w:r w:rsidRPr="00C06B48">
        <w:t xml:space="preserve">Tratamiento con ESTEROIDES a dosis ALTAS relacionados con tratamientos oncológicos, oncohematologicos o que integran esquema de inmunosupresión de pacientes trasplantados, portadores de colagenopatías o enfermedades autoinmunes. </w:t>
      </w:r>
    </w:p>
    <w:p w:rsidR="00077663" w:rsidRDefault="00077663" w:rsidP="005A466E">
      <w:pPr>
        <w:pStyle w:val="Prrafodelista"/>
        <w:numPr>
          <w:ilvl w:val="0"/>
          <w:numId w:val="6"/>
        </w:numPr>
      </w:pPr>
      <w:r w:rsidRPr="00B44D33">
        <w:rPr>
          <w:u w:val="single"/>
        </w:rPr>
        <w:t>Dosis:</w:t>
      </w:r>
      <w:r w:rsidRPr="00B44D33">
        <w:t xml:space="preserve"> variable según </w:t>
      </w:r>
      <w:r>
        <w:t xml:space="preserve">detalle y condición definida en cada INDICACION. </w:t>
      </w:r>
    </w:p>
    <w:p w:rsidR="00077663" w:rsidRPr="000857B4" w:rsidRDefault="00077663" w:rsidP="00282462">
      <w:pPr>
        <w:pStyle w:val="Prrafodelista"/>
        <w:jc w:val="both"/>
        <w:rPr>
          <w:color w:val="00B050"/>
        </w:rPr>
      </w:pPr>
    </w:p>
    <w:p w:rsidR="001E75E7" w:rsidRPr="000857B4" w:rsidRDefault="00A54347" w:rsidP="007E24FB">
      <w:pPr>
        <w:jc w:val="both"/>
        <w:rPr>
          <w:b/>
          <w:i/>
          <w:color w:val="00B050"/>
        </w:rPr>
      </w:pPr>
      <w:r w:rsidRPr="000857B4">
        <w:rPr>
          <w:b/>
          <w:i/>
          <w:color w:val="00B050"/>
          <w:lang w:val="pt-BR"/>
        </w:rPr>
        <w:t>H04AA01 GLUCAGON</w:t>
      </w:r>
    </w:p>
    <w:p w:rsidR="001E75E7" w:rsidRPr="001E75E7" w:rsidRDefault="001E75E7" w:rsidP="001E75E7">
      <w:pPr>
        <w:pStyle w:val="Prrafodelista"/>
        <w:numPr>
          <w:ilvl w:val="0"/>
          <w:numId w:val="1"/>
        </w:numPr>
        <w:jc w:val="both"/>
      </w:pPr>
      <w:r w:rsidRPr="001E75E7">
        <w:t xml:space="preserve">Hormona antihipoglucemiante destinada a tratar en la emergencia hipoglucemias severas de pacientes diabéticos utilizadores de insulina, con antecedentes de cuadros </w:t>
      </w:r>
      <w:r w:rsidR="00EF45E2" w:rsidRPr="001E75E7">
        <w:t>hipoglucémicos</w:t>
      </w:r>
      <w:r w:rsidRPr="001E75E7">
        <w:t xml:space="preserve"> graves que demandaron asistencia médica y la consecuente revisión del tratamiento instituido.</w:t>
      </w:r>
    </w:p>
    <w:p w:rsidR="001E75E7" w:rsidRPr="001E75E7" w:rsidRDefault="001E75E7" w:rsidP="001E75E7">
      <w:pPr>
        <w:pStyle w:val="Prrafodelista"/>
        <w:numPr>
          <w:ilvl w:val="0"/>
          <w:numId w:val="1"/>
        </w:numPr>
        <w:jc w:val="both"/>
      </w:pPr>
      <w:r w:rsidRPr="001E75E7">
        <w:t>La recurrencia de hipoglucemia severa, a pesar de los cambios pertinentes en la terapia con insulina en estos casos de labilidad metabólica excepcional requieren de la disponibilidad de un stock de glucagón para ser administrado por personal no médico de su grupo familiar o de asistencia entrenado en la administración del fármaco.</w:t>
      </w:r>
    </w:p>
    <w:p w:rsidR="001E75E7" w:rsidRDefault="001E75E7" w:rsidP="001E75E7">
      <w:pPr>
        <w:pStyle w:val="Prrafodelista"/>
        <w:numPr>
          <w:ilvl w:val="0"/>
          <w:numId w:val="1"/>
        </w:numPr>
        <w:jc w:val="both"/>
      </w:pPr>
      <w:r w:rsidRPr="001E75E7">
        <w:t xml:space="preserve">Dosis: 1mg/ml para pacientes con un peso de </w:t>
      </w:r>
      <w:smartTag w:uri="urn:schemas-microsoft-com:office:smarttags" w:element="metricconverter">
        <w:smartTagPr>
          <w:attr w:name="ProductID" w:val="25 kg"/>
        </w:smartTagPr>
        <w:r w:rsidRPr="001E75E7">
          <w:t>25 kg</w:t>
        </w:r>
      </w:smartTag>
      <w:r w:rsidRPr="001E75E7">
        <w:t xml:space="preserve"> o mayor (1 ampolla de 1mg diluida en el vial de 1ml que la acompaña) administrado por vía subcutánea o intramuscular, asociado a la administración de glucosa. En pacientes de menos de </w:t>
      </w:r>
      <w:smartTag w:uri="urn:schemas-microsoft-com:office:smarttags" w:element="metricconverter">
        <w:smartTagPr>
          <w:attr w:name="ProductID" w:val="25 kg"/>
        </w:smartTagPr>
        <w:r w:rsidRPr="001E75E7">
          <w:t>25 kg</w:t>
        </w:r>
      </w:smartTag>
      <w:r w:rsidRPr="001E75E7">
        <w:t xml:space="preserve"> de peso se administra ½ ampolla.</w:t>
      </w:r>
    </w:p>
    <w:p w:rsidR="00AF4136" w:rsidRPr="00E3220A" w:rsidRDefault="00AF4136" w:rsidP="00AF4136">
      <w:pPr>
        <w:tabs>
          <w:tab w:val="left" w:pos="1320"/>
        </w:tabs>
        <w:ind w:left="113"/>
        <w:rPr>
          <w:rFonts w:cs="Arial"/>
          <w:b/>
          <w:i/>
          <w:color w:val="00B050"/>
        </w:rPr>
      </w:pPr>
      <w:r w:rsidRPr="00E3220A">
        <w:rPr>
          <w:rFonts w:cs="Arial"/>
          <w:b/>
          <w:i/>
          <w:color w:val="00B050"/>
        </w:rPr>
        <w:t>H05BA</w:t>
      </w:r>
      <w:r w:rsidRPr="00E3220A">
        <w:rPr>
          <w:rFonts w:cs="Arial"/>
          <w:b/>
          <w:i/>
          <w:color w:val="00B050"/>
        </w:rPr>
        <w:tab/>
        <w:t>PREPARACIONES CON CALCITONINA</w:t>
      </w:r>
    </w:p>
    <w:p w:rsidR="00AF4136" w:rsidRPr="00E3220A" w:rsidRDefault="00AF4136" w:rsidP="00AF4136">
      <w:pPr>
        <w:tabs>
          <w:tab w:val="left" w:pos="1320"/>
        </w:tabs>
        <w:ind w:left="113"/>
        <w:rPr>
          <w:rFonts w:cs="Arial"/>
          <w:b/>
          <w:i/>
          <w:color w:val="00B050"/>
        </w:rPr>
      </w:pPr>
      <w:r w:rsidRPr="00E3220A">
        <w:rPr>
          <w:rFonts w:cs="Arial"/>
          <w:b/>
          <w:i/>
          <w:color w:val="00B050"/>
        </w:rPr>
        <w:t>H05BA01</w:t>
      </w:r>
      <w:r w:rsidRPr="00E3220A">
        <w:rPr>
          <w:rFonts w:cs="Arial"/>
          <w:b/>
          <w:i/>
          <w:color w:val="00B050"/>
        </w:rPr>
        <w:tab/>
        <w:t xml:space="preserve">CALCITONINA (SALMON SINTETICA) </w:t>
      </w:r>
    </w:p>
    <w:p w:rsidR="00AF4136" w:rsidRPr="00E3220A" w:rsidRDefault="00AF4136" w:rsidP="00396EBC">
      <w:pPr>
        <w:numPr>
          <w:ilvl w:val="0"/>
          <w:numId w:val="44"/>
        </w:numPr>
        <w:spacing w:after="0" w:line="240" w:lineRule="auto"/>
        <w:jc w:val="both"/>
        <w:rPr>
          <w:snapToGrid w:val="0"/>
        </w:rPr>
      </w:pPr>
      <w:r w:rsidRPr="00E3220A">
        <w:rPr>
          <w:snapToGrid w:val="0"/>
        </w:rPr>
        <w:lastRenderedPageBreak/>
        <w:t xml:space="preserve">Enfermedad de </w:t>
      </w:r>
      <w:proofErr w:type="spellStart"/>
      <w:r w:rsidRPr="00E3220A">
        <w:rPr>
          <w:snapToGrid w:val="0"/>
        </w:rPr>
        <w:t>Paget</w:t>
      </w:r>
      <w:proofErr w:type="spellEnd"/>
      <w:r w:rsidRPr="00E3220A">
        <w:rPr>
          <w:snapToGrid w:val="0"/>
        </w:rPr>
        <w:t xml:space="preserve">, cuando se acredite ineficacia o intolerancia a </w:t>
      </w:r>
      <w:proofErr w:type="spellStart"/>
      <w:r w:rsidRPr="00E3220A">
        <w:rPr>
          <w:snapToGrid w:val="0"/>
        </w:rPr>
        <w:t>bifosfonatos</w:t>
      </w:r>
      <w:proofErr w:type="spellEnd"/>
      <w:r w:rsidRPr="00E3220A">
        <w:rPr>
          <w:snapToGrid w:val="0"/>
        </w:rPr>
        <w:t>. Dosis: 50-100 UI / día por vía IM o SC</w:t>
      </w:r>
    </w:p>
    <w:p w:rsidR="00AF4136" w:rsidRPr="00E3220A" w:rsidRDefault="00AF4136" w:rsidP="00396EBC">
      <w:pPr>
        <w:numPr>
          <w:ilvl w:val="0"/>
          <w:numId w:val="44"/>
        </w:numPr>
        <w:spacing w:after="0" w:line="240" w:lineRule="auto"/>
        <w:jc w:val="both"/>
        <w:rPr>
          <w:snapToGrid w:val="0"/>
        </w:rPr>
      </w:pPr>
      <w:r w:rsidRPr="00E3220A">
        <w:rPr>
          <w:snapToGrid w:val="0"/>
        </w:rPr>
        <w:t>Pacientes con patologías oncológicas con metástasis óseas y con severo dolor. Dosis: 50-100 UI / día por vía IM o SC</w:t>
      </w:r>
    </w:p>
    <w:p w:rsidR="00AF4136" w:rsidRPr="00E3220A" w:rsidRDefault="00AF4136" w:rsidP="00396EBC">
      <w:pPr>
        <w:numPr>
          <w:ilvl w:val="0"/>
          <w:numId w:val="44"/>
        </w:numPr>
        <w:spacing w:after="0" w:line="240" w:lineRule="auto"/>
        <w:jc w:val="both"/>
        <w:rPr>
          <w:snapToGrid w:val="0"/>
        </w:rPr>
      </w:pPr>
      <w:r w:rsidRPr="00E3220A">
        <w:rPr>
          <w:snapToGrid w:val="0"/>
        </w:rPr>
        <w:t xml:space="preserve">Osteoporosis, documentada por </w:t>
      </w:r>
      <w:proofErr w:type="spellStart"/>
      <w:r w:rsidRPr="00E3220A">
        <w:rPr>
          <w:snapToGrid w:val="0"/>
        </w:rPr>
        <w:t>osteodensitometría</w:t>
      </w:r>
      <w:proofErr w:type="spellEnd"/>
      <w:r w:rsidRPr="00E3220A">
        <w:rPr>
          <w:snapToGrid w:val="0"/>
        </w:rPr>
        <w:t xml:space="preserve"> siempre y cuando  exista al menos una de las siguientes situaciones: </w:t>
      </w:r>
    </w:p>
    <w:p w:rsidR="00AF4136" w:rsidRPr="00E3220A" w:rsidRDefault="00AF4136" w:rsidP="00396EBC">
      <w:pPr>
        <w:numPr>
          <w:ilvl w:val="1"/>
          <w:numId w:val="45"/>
        </w:numPr>
        <w:spacing w:after="0" w:line="240" w:lineRule="auto"/>
        <w:jc w:val="both"/>
        <w:rPr>
          <w:snapToGrid w:val="0"/>
        </w:rPr>
      </w:pPr>
      <w:r w:rsidRPr="00E3220A">
        <w:rPr>
          <w:snapToGrid w:val="0"/>
        </w:rPr>
        <w:t xml:space="preserve">Dolor moderado o severo provocado por </w:t>
      </w:r>
      <w:proofErr w:type="spellStart"/>
      <w:r w:rsidRPr="00E3220A">
        <w:rPr>
          <w:snapToGrid w:val="0"/>
        </w:rPr>
        <w:t>microfracturas</w:t>
      </w:r>
      <w:proofErr w:type="spellEnd"/>
      <w:r w:rsidRPr="00E3220A">
        <w:rPr>
          <w:snapToGrid w:val="0"/>
        </w:rPr>
        <w:t xml:space="preserve"> y/o aplastamientos vertebrales.</w:t>
      </w:r>
    </w:p>
    <w:p w:rsidR="00AF4136" w:rsidRPr="00E3220A" w:rsidRDefault="00AF4136" w:rsidP="00396EBC">
      <w:pPr>
        <w:numPr>
          <w:ilvl w:val="1"/>
          <w:numId w:val="45"/>
        </w:numPr>
        <w:spacing w:after="0" w:line="240" w:lineRule="auto"/>
        <w:jc w:val="both"/>
        <w:rPr>
          <w:snapToGrid w:val="0"/>
        </w:rPr>
      </w:pPr>
      <w:r w:rsidRPr="00E3220A">
        <w:rPr>
          <w:snapToGrid w:val="0"/>
        </w:rPr>
        <w:t xml:space="preserve">Dolor moderado o severo provocado por </w:t>
      </w:r>
      <w:proofErr w:type="spellStart"/>
      <w:r w:rsidRPr="00E3220A">
        <w:rPr>
          <w:snapToGrid w:val="0"/>
        </w:rPr>
        <w:t>microfracturas</w:t>
      </w:r>
      <w:proofErr w:type="spellEnd"/>
      <w:r w:rsidRPr="00E3220A">
        <w:rPr>
          <w:snapToGrid w:val="0"/>
        </w:rPr>
        <w:t xml:space="preserve"> y/o aplastamientos vertebrales en pacientes que reciben </w:t>
      </w:r>
      <w:proofErr w:type="spellStart"/>
      <w:r w:rsidRPr="00E3220A">
        <w:rPr>
          <w:snapToGrid w:val="0"/>
        </w:rPr>
        <w:t>corticoterapia</w:t>
      </w:r>
      <w:proofErr w:type="spellEnd"/>
      <w:r w:rsidRPr="00E3220A">
        <w:rPr>
          <w:snapToGrid w:val="0"/>
        </w:rPr>
        <w:t xml:space="preserve"> prolongada con suplementos de calcio y vitamina D.</w:t>
      </w:r>
    </w:p>
    <w:p w:rsidR="00AF4136" w:rsidRPr="00E3220A" w:rsidRDefault="00AF4136" w:rsidP="00396EBC">
      <w:pPr>
        <w:numPr>
          <w:ilvl w:val="0"/>
          <w:numId w:val="44"/>
        </w:numPr>
        <w:spacing w:after="0" w:line="240" w:lineRule="auto"/>
        <w:jc w:val="both"/>
        <w:rPr>
          <w:snapToGrid w:val="0"/>
        </w:rPr>
      </w:pPr>
      <w:r w:rsidRPr="00E3220A">
        <w:rPr>
          <w:snapToGrid w:val="0"/>
        </w:rPr>
        <w:t xml:space="preserve">Dosis en osteoporosis: 100-200 UI /día por vía IM, SC o </w:t>
      </w:r>
      <w:proofErr w:type="spellStart"/>
      <w:r w:rsidRPr="00E3220A">
        <w:rPr>
          <w:snapToGrid w:val="0"/>
        </w:rPr>
        <w:t>intranasal</w:t>
      </w:r>
      <w:proofErr w:type="spellEnd"/>
      <w:r w:rsidRPr="00E3220A">
        <w:rPr>
          <w:snapToGrid w:val="0"/>
        </w:rPr>
        <w:t>.</w:t>
      </w:r>
    </w:p>
    <w:p w:rsidR="00AF4136" w:rsidRPr="00E3220A" w:rsidRDefault="00AF4136" w:rsidP="00AF4136">
      <w:pPr>
        <w:tabs>
          <w:tab w:val="left" w:pos="1320"/>
        </w:tabs>
        <w:ind w:left="113"/>
        <w:rPr>
          <w:rFonts w:cs="Arial"/>
          <w:b/>
        </w:rPr>
      </w:pPr>
    </w:p>
    <w:p w:rsidR="00AF4136" w:rsidRDefault="00AF4136" w:rsidP="00AF4136">
      <w:pPr>
        <w:tabs>
          <w:tab w:val="left" w:pos="1320"/>
        </w:tabs>
        <w:ind w:left="113"/>
        <w:rPr>
          <w:rFonts w:cs="Arial"/>
          <w:b/>
          <w:bCs/>
          <w:i/>
          <w:color w:val="00B050"/>
        </w:rPr>
      </w:pPr>
      <w:r w:rsidRPr="00E3220A">
        <w:rPr>
          <w:rFonts w:cs="Arial"/>
          <w:b/>
          <w:i/>
          <w:color w:val="00B050"/>
        </w:rPr>
        <w:t>J01</w:t>
      </w:r>
      <w:r w:rsidRPr="00E3220A">
        <w:rPr>
          <w:rFonts w:cs="Arial"/>
          <w:b/>
          <w:i/>
          <w:color w:val="00B050"/>
        </w:rPr>
        <w:tab/>
      </w:r>
      <w:r w:rsidRPr="00E3220A">
        <w:rPr>
          <w:rFonts w:cs="Arial"/>
          <w:b/>
          <w:bCs/>
          <w:i/>
          <w:color w:val="00B050"/>
        </w:rPr>
        <w:t>ANTIBACTERIANOS DE USO SISTEMICO</w:t>
      </w:r>
    </w:p>
    <w:p w:rsidR="000443AB" w:rsidRPr="000443AB" w:rsidRDefault="000443AB" w:rsidP="000443AB">
      <w:pPr>
        <w:tabs>
          <w:tab w:val="left" w:pos="1161"/>
        </w:tabs>
        <w:ind w:left="50"/>
        <w:rPr>
          <w:rFonts w:cs="Arial"/>
          <w:b/>
          <w:i/>
          <w:color w:val="00B050"/>
        </w:rPr>
      </w:pPr>
      <w:r w:rsidRPr="000443AB">
        <w:rPr>
          <w:rFonts w:cs="Arial"/>
          <w:b/>
          <w:i/>
          <w:color w:val="00B050"/>
        </w:rPr>
        <w:t>J01AA</w:t>
      </w:r>
      <w:r w:rsidRPr="000443AB">
        <w:rPr>
          <w:rFonts w:cs="Arial"/>
          <w:b/>
          <w:i/>
          <w:color w:val="00B050"/>
        </w:rPr>
        <w:tab/>
        <w:t>TETRACICLINAS</w:t>
      </w:r>
    </w:p>
    <w:p w:rsidR="000443AB" w:rsidRPr="000443AB" w:rsidRDefault="000443AB" w:rsidP="000443AB">
      <w:pPr>
        <w:tabs>
          <w:tab w:val="left" w:pos="1161"/>
        </w:tabs>
        <w:ind w:left="50"/>
        <w:rPr>
          <w:rFonts w:cs="Arial"/>
          <w:b/>
          <w:i/>
          <w:color w:val="00B050"/>
        </w:rPr>
      </w:pPr>
      <w:r w:rsidRPr="000443AB">
        <w:rPr>
          <w:rFonts w:cs="Arial"/>
          <w:b/>
          <w:i/>
          <w:color w:val="00B050"/>
        </w:rPr>
        <w:t>J01AA08</w:t>
      </w:r>
      <w:r w:rsidRPr="000443AB">
        <w:rPr>
          <w:rFonts w:cs="Arial"/>
          <w:b/>
          <w:i/>
          <w:color w:val="00B050"/>
        </w:rPr>
        <w:tab/>
        <w:t xml:space="preserve">MINOCICLINA </w:t>
      </w:r>
    </w:p>
    <w:p w:rsidR="000443AB" w:rsidRPr="000443AB" w:rsidRDefault="000443AB" w:rsidP="00396EBC">
      <w:pPr>
        <w:numPr>
          <w:ilvl w:val="0"/>
          <w:numId w:val="76"/>
        </w:numPr>
        <w:spacing w:after="0" w:line="240" w:lineRule="auto"/>
        <w:jc w:val="both"/>
        <w:rPr>
          <w:rFonts w:cs="Arial"/>
        </w:rPr>
      </w:pPr>
      <w:r w:rsidRPr="000443AB">
        <w:rPr>
          <w:rFonts w:cs="Arial"/>
        </w:rPr>
        <w:t xml:space="preserve">Antibiótico de elección junto a </w:t>
      </w:r>
      <w:proofErr w:type="spellStart"/>
      <w:r w:rsidRPr="000443AB">
        <w:rPr>
          <w:rFonts w:cs="Arial"/>
        </w:rPr>
        <w:t>eritromicina</w:t>
      </w:r>
      <w:proofErr w:type="spellEnd"/>
      <w:r w:rsidRPr="000443AB">
        <w:rPr>
          <w:rFonts w:cs="Arial"/>
        </w:rPr>
        <w:t xml:space="preserve"> para el tratamiento del acné vulgar.</w:t>
      </w:r>
    </w:p>
    <w:p w:rsidR="000443AB" w:rsidRPr="00926EAE" w:rsidRDefault="000443AB" w:rsidP="000443AB">
      <w:pPr>
        <w:ind w:left="360"/>
        <w:jc w:val="both"/>
        <w:rPr>
          <w:rFonts w:cs="Arial"/>
        </w:rPr>
      </w:pPr>
      <w:r w:rsidRPr="000443AB">
        <w:rPr>
          <w:rFonts w:cs="Arial"/>
          <w:u w:val="single"/>
        </w:rPr>
        <w:t>Dosis</w:t>
      </w:r>
      <w:r w:rsidRPr="000443AB">
        <w:rPr>
          <w:rFonts w:cs="Arial"/>
        </w:rPr>
        <w:t xml:space="preserve">: 200 mg de entrada y luego 100 mg cada 12 horas por 7-14 días. De acuerdo a la severidad del cuadro de acné (EGSA) se pueden realizar tratamientos por hasta 12 </w:t>
      </w:r>
      <w:r w:rsidRPr="00926EAE">
        <w:rPr>
          <w:rFonts w:cs="Arial"/>
        </w:rPr>
        <w:t>semanas</w:t>
      </w:r>
    </w:p>
    <w:p w:rsidR="00926EAE" w:rsidRPr="00926EAE" w:rsidRDefault="00926EAE" w:rsidP="00926EAE">
      <w:pPr>
        <w:tabs>
          <w:tab w:val="left" w:pos="1161"/>
        </w:tabs>
        <w:ind w:left="50"/>
        <w:rPr>
          <w:rFonts w:cs="Arial"/>
          <w:b/>
          <w:i/>
          <w:color w:val="00B050"/>
        </w:rPr>
      </w:pPr>
      <w:r w:rsidRPr="00926EAE">
        <w:rPr>
          <w:rFonts w:cs="Arial"/>
          <w:b/>
          <w:i/>
          <w:color w:val="00B050"/>
        </w:rPr>
        <w:t>J01MA01</w:t>
      </w:r>
      <w:r w:rsidRPr="00926EAE">
        <w:rPr>
          <w:rFonts w:cs="Arial"/>
          <w:b/>
          <w:i/>
          <w:color w:val="00B050"/>
        </w:rPr>
        <w:tab/>
        <w:t xml:space="preserve">OFLOXACINA </w:t>
      </w:r>
    </w:p>
    <w:p w:rsidR="00926EAE" w:rsidRPr="00926EAE" w:rsidRDefault="00926EAE" w:rsidP="00396EBC">
      <w:pPr>
        <w:numPr>
          <w:ilvl w:val="0"/>
          <w:numId w:val="76"/>
        </w:numPr>
        <w:spacing w:after="0" w:line="240" w:lineRule="auto"/>
        <w:jc w:val="both"/>
        <w:rPr>
          <w:rFonts w:cs="Arial"/>
        </w:rPr>
      </w:pPr>
      <w:r w:rsidRPr="00926EAE">
        <w:rPr>
          <w:rFonts w:cs="Arial"/>
        </w:rPr>
        <w:t>Antibiótico de segunda línea para el tratamiento de la neumonía adquirida en la comunidad ante fallo, intolerancia o contraindicación formal para los antibiótico incluidos (</w:t>
      </w:r>
      <w:proofErr w:type="spellStart"/>
      <w:r w:rsidRPr="00926EAE">
        <w:rPr>
          <w:rFonts w:cs="Arial"/>
        </w:rPr>
        <w:t>betalactámicos</w:t>
      </w:r>
      <w:proofErr w:type="spellEnd"/>
      <w:r w:rsidRPr="00926EAE">
        <w:rPr>
          <w:rFonts w:cs="Arial"/>
        </w:rPr>
        <w:t xml:space="preserve"> y/o </w:t>
      </w:r>
      <w:proofErr w:type="spellStart"/>
      <w:r w:rsidRPr="00926EAE">
        <w:rPr>
          <w:rFonts w:cs="Arial"/>
        </w:rPr>
        <w:t>macrólidos</w:t>
      </w:r>
      <w:proofErr w:type="spellEnd"/>
      <w:r w:rsidRPr="00926EAE">
        <w:rPr>
          <w:rFonts w:cs="Arial"/>
        </w:rPr>
        <w:t xml:space="preserve">) y cuando se encuentre indicada una </w:t>
      </w:r>
      <w:proofErr w:type="spellStart"/>
      <w:r w:rsidRPr="00926EAE">
        <w:rPr>
          <w:rFonts w:cs="Arial"/>
        </w:rPr>
        <w:t>fluoroquinolona</w:t>
      </w:r>
      <w:proofErr w:type="spellEnd"/>
      <w:r w:rsidRPr="00926EAE">
        <w:rPr>
          <w:rFonts w:cs="Arial"/>
        </w:rPr>
        <w:t>.</w:t>
      </w:r>
    </w:p>
    <w:p w:rsidR="00926EAE" w:rsidRPr="00926EAE" w:rsidRDefault="00926EAE" w:rsidP="00396EBC">
      <w:pPr>
        <w:numPr>
          <w:ilvl w:val="0"/>
          <w:numId w:val="76"/>
        </w:numPr>
        <w:spacing w:after="0" w:line="240" w:lineRule="auto"/>
        <w:jc w:val="both"/>
        <w:rPr>
          <w:rFonts w:cs="Arial"/>
        </w:rPr>
      </w:pPr>
      <w:r w:rsidRPr="00926EAE">
        <w:rPr>
          <w:rFonts w:cs="Arial"/>
        </w:rPr>
        <w:t xml:space="preserve">Antibiótico de elección con documentación bacteriológica </w:t>
      </w:r>
      <w:proofErr w:type="spellStart"/>
      <w:r w:rsidRPr="00926EAE">
        <w:rPr>
          <w:rFonts w:cs="Arial"/>
        </w:rPr>
        <w:t>respaldatoria</w:t>
      </w:r>
      <w:proofErr w:type="spellEnd"/>
      <w:r w:rsidRPr="00926EAE">
        <w:rPr>
          <w:rFonts w:cs="Arial"/>
        </w:rPr>
        <w:t xml:space="preserve"> ante cepas resistentes de </w:t>
      </w:r>
      <w:proofErr w:type="spellStart"/>
      <w:r w:rsidRPr="00926EAE">
        <w:rPr>
          <w:rFonts w:cs="Arial"/>
        </w:rPr>
        <w:t>Streptococo</w:t>
      </w:r>
      <w:proofErr w:type="spellEnd"/>
      <w:r w:rsidRPr="00926EAE">
        <w:rPr>
          <w:rFonts w:cs="Arial"/>
        </w:rPr>
        <w:t xml:space="preserve"> </w:t>
      </w:r>
      <w:proofErr w:type="spellStart"/>
      <w:r w:rsidRPr="00926EAE">
        <w:rPr>
          <w:rFonts w:cs="Arial"/>
        </w:rPr>
        <w:t>pneumoniae</w:t>
      </w:r>
      <w:proofErr w:type="spellEnd"/>
      <w:r w:rsidRPr="00926EAE">
        <w:rPr>
          <w:rFonts w:cs="Arial"/>
        </w:rPr>
        <w:t>.</w:t>
      </w:r>
    </w:p>
    <w:p w:rsidR="00926EAE" w:rsidRPr="00926EAE" w:rsidRDefault="00926EAE" w:rsidP="00396EBC">
      <w:pPr>
        <w:numPr>
          <w:ilvl w:val="0"/>
          <w:numId w:val="76"/>
        </w:numPr>
        <w:spacing w:after="0" w:line="240" w:lineRule="auto"/>
        <w:jc w:val="both"/>
        <w:rPr>
          <w:rFonts w:cs="Arial"/>
        </w:rPr>
      </w:pPr>
      <w:r w:rsidRPr="00926EAE">
        <w:rPr>
          <w:rFonts w:cs="Arial"/>
        </w:rPr>
        <w:t xml:space="preserve">Antibiótico de alternativa con documentación bacteriológica </w:t>
      </w:r>
      <w:proofErr w:type="spellStart"/>
      <w:r w:rsidRPr="00926EAE">
        <w:rPr>
          <w:rFonts w:cs="Arial"/>
        </w:rPr>
        <w:t>respaldatoria</w:t>
      </w:r>
      <w:proofErr w:type="spellEnd"/>
      <w:r w:rsidRPr="00926EAE">
        <w:rPr>
          <w:rFonts w:cs="Arial"/>
        </w:rPr>
        <w:t xml:space="preserve"> para casos seleccionados de conjuntivitis aguda y otitis media.</w:t>
      </w:r>
    </w:p>
    <w:p w:rsidR="00926EAE" w:rsidRPr="00926EAE" w:rsidRDefault="00926EAE" w:rsidP="00926EAE">
      <w:pPr>
        <w:ind w:left="360"/>
        <w:rPr>
          <w:rFonts w:cs="Arial"/>
        </w:rPr>
      </w:pPr>
      <w:r w:rsidRPr="00926EAE">
        <w:rPr>
          <w:rFonts w:cs="Arial"/>
          <w:u w:val="single"/>
        </w:rPr>
        <w:t>Dosis</w:t>
      </w:r>
      <w:r w:rsidRPr="00926EAE">
        <w:rPr>
          <w:rFonts w:cs="Arial"/>
        </w:rPr>
        <w:t>: 200 mg por vía oral o EV cada 12 horas por 7-10 días.</w:t>
      </w:r>
    </w:p>
    <w:p w:rsidR="00926EAE" w:rsidRPr="00926EAE" w:rsidRDefault="00926EAE" w:rsidP="00926EAE">
      <w:pPr>
        <w:ind w:left="360"/>
        <w:jc w:val="both"/>
        <w:rPr>
          <w:rFonts w:cs="Arial"/>
        </w:rPr>
      </w:pPr>
      <w:r w:rsidRPr="00926EAE">
        <w:rPr>
          <w:rFonts w:cs="Arial"/>
          <w:u w:val="single"/>
        </w:rPr>
        <w:t>Nota:</w:t>
      </w:r>
      <w:r w:rsidRPr="00926EAE">
        <w:rPr>
          <w:rFonts w:cs="Arial"/>
        </w:rPr>
        <w:t xml:space="preserve"> a pesar del amplio espectro de actividad antimicrobiana de la </w:t>
      </w:r>
      <w:proofErr w:type="spellStart"/>
      <w:r w:rsidRPr="00926EAE">
        <w:rPr>
          <w:rFonts w:cs="Arial"/>
        </w:rPr>
        <w:t>ofloxacina</w:t>
      </w:r>
      <w:proofErr w:type="spellEnd"/>
      <w:r w:rsidRPr="00926EAE">
        <w:rPr>
          <w:rFonts w:cs="Arial"/>
        </w:rPr>
        <w:t xml:space="preserve">, no debe ser incluida en tratamientos empíricos debido a las tasas de resistencia verificadas </w:t>
      </w:r>
    </w:p>
    <w:p w:rsidR="000443AB" w:rsidRPr="00E3220A" w:rsidRDefault="000443AB" w:rsidP="00AF4136">
      <w:pPr>
        <w:tabs>
          <w:tab w:val="left" w:pos="1320"/>
        </w:tabs>
        <w:ind w:left="113"/>
        <w:rPr>
          <w:rFonts w:cs="Arial"/>
          <w:b/>
          <w:bCs/>
          <w:i/>
          <w:color w:val="00B050"/>
        </w:rPr>
      </w:pPr>
    </w:p>
    <w:p w:rsidR="00AF4136" w:rsidRPr="00E3220A" w:rsidRDefault="00AF4136" w:rsidP="00AF4136">
      <w:pPr>
        <w:tabs>
          <w:tab w:val="left" w:pos="1320"/>
        </w:tabs>
        <w:ind w:left="113"/>
        <w:rPr>
          <w:rFonts w:cs="Arial"/>
          <w:b/>
          <w:i/>
          <w:color w:val="00B050"/>
        </w:rPr>
      </w:pPr>
      <w:r w:rsidRPr="00E3220A">
        <w:rPr>
          <w:rFonts w:cs="Arial"/>
          <w:b/>
          <w:i/>
          <w:color w:val="00B050"/>
        </w:rPr>
        <w:t>J01CR</w:t>
      </w:r>
      <w:r w:rsidRPr="00E3220A">
        <w:rPr>
          <w:rFonts w:cs="Arial"/>
          <w:b/>
          <w:i/>
          <w:color w:val="00B050"/>
        </w:rPr>
        <w:tab/>
        <w:t xml:space="preserve">COMBINACIONES DE PENICILINAS, INCLUYENDO INHIBIDORES </w:t>
      </w:r>
    </w:p>
    <w:p w:rsidR="00AF4136" w:rsidRPr="00E3220A" w:rsidRDefault="00AF4136" w:rsidP="00AF4136">
      <w:pPr>
        <w:tabs>
          <w:tab w:val="left" w:pos="1320"/>
        </w:tabs>
        <w:ind w:left="113"/>
        <w:rPr>
          <w:rFonts w:cs="Arial"/>
          <w:b/>
          <w:i/>
          <w:color w:val="00B050"/>
        </w:rPr>
      </w:pPr>
      <w:r w:rsidRPr="00E3220A">
        <w:rPr>
          <w:rFonts w:cs="Arial"/>
          <w:b/>
          <w:i/>
          <w:color w:val="00B050"/>
        </w:rPr>
        <w:t xml:space="preserve">                DE LA BETA LACTAMASA</w:t>
      </w:r>
    </w:p>
    <w:p w:rsidR="00AF4136" w:rsidRPr="00E3220A" w:rsidRDefault="00AF4136" w:rsidP="00AF4136">
      <w:pPr>
        <w:tabs>
          <w:tab w:val="left" w:pos="1320"/>
        </w:tabs>
        <w:ind w:left="113"/>
        <w:rPr>
          <w:rFonts w:cs="Arial"/>
          <w:b/>
          <w:i/>
          <w:color w:val="00B050"/>
        </w:rPr>
      </w:pPr>
      <w:r w:rsidRPr="00E3220A">
        <w:rPr>
          <w:rFonts w:cs="Arial"/>
          <w:b/>
          <w:i/>
          <w:color w:val="00B050"/>
        </w:rPr>
        <w:t xml:space="preserve">J01CR02 </w:t>
      </w:r>
      <w:r w:rsidRPr="00E3220A">
        <w:rPr>
          <w:rFonts w:cs="Arial"/>
          <w:b/>
          <w:i/>
          <w:color w:val="00B050"/>
        </w:rPr>
        <w:tab/>
        <w:t xml:space="preserve">AMOXICILINA Y ACIDO CLAVULANICO </w:t>
      </w:r>
    </w:p>
    <w:p w:rsidR="00AF4136" w:rsidRPr="00E3220A" w:rsidRDefault="00AF4136" w:rsidP="00396EBC">
      <w:pPr>
        <w:numPr>
          <w:ilvl w:val="0"/>
          <w:numId w:val="46"/>
        </w:numPr>
        <w:spacing w:after="0" w:line="240" w:lineRule="auto"/>
        <w:jc w:val="both"/>
        <w:rPr>
          <w:snapToGrid w:val="0"/>
        </w:rPr>
      </w:pPr>
      <w:r w:rsidRPr="00E3220A">
        <w:rPr>
          <w:snapToGrid w:val="0"/>
        </w:rPr>
        <w:t>Tratamiento empírico de pacientes con mordeduras animales o humanas.</w:t>
      </w:r>
    </w:p>
    <w:p w:rsidR="00AF4136" w:rsidRPr="00E3220A" w:rsidRDefault="00AF4136" w:rsidP="00396EBC">
      <w:pPr>
        <w:numPr>
          <w:ilvl w:val="0"/>
          <w:numId w:val="46"/>
        </w:numPr>
        <w:spacing w:after="0" w:line="240" w:lineRule="auto"/>
        <w:jc w:val="both"/>
        <w:rPr>
          <w:snapToGrid w:val="0"/>
        </w:rPr>
      </w:pPr>
      <w:r w:rsidRPr="00E3220A">
        <w:rPr>
          <w:snapToGrid w:val="0"/>
        </w:rPr>
        <w:t>Reactivación de EPOC en pacientes de la comunidad.</w:t>
      </w:r>
    </w:p>
    <w:p w:rsidR="00AF4136" w:rsidRPr="00E3220A" w:rsidRDefault="00AF4136" w:rsidP="00396EBC">
      <w:pPr>
        <w:numPr>
          <w:ilvl w:val="0"/>
          <w:numId w:val="46"/>
        </w:numPr>
        <w:spacing w:after="0" w:line="240" w:lineRule="auto"/>
        <w:jc w:val="both"/>
        <w:rPr>
          <w:snapToGrid w:val="0"/>
        </w:rPr>
      </w:pPr>
      <w:r w:rsidRPr="00E3220A">
        <w:rPr>
          <w:snapToGrid w:val="0"/>
        </w:rPr>
        <w:t xml:space="preserve">Tratamiento ambulatorio de enfermedad inflamatoria pelviana y la </w:t>
      </w:r>
      <w:proofErr w:type="spellStart"/>
      <w:r w:rsidRPr="00E3220A">
        <w:rPr>
          <w:snapToGrid w:val="0"/>
        </w:rPr>
        <w:t>orquiepididimitis</w:t>
      </w:r>
      <w:proofErr w:type="spellEnd"/>
      <w:r w:rsidRPr="00E3220A">
        <w:rPr>
          <w:snapToGrid w:val="0"/>
        </w:rPr>
        <w:t xml:space="preserve"> aguda.</w:t>
      </w:r>
    </w:p>
    <w:p w:rsidR="00AF4136" w:rsidRPr="00E3220A" w:rsidRDefault="00AF4136" w:rsidP="00396EBC">
      <w:pPr>
        <w:numPr>
          <w:ilvl w:val="0"/>
          <w:numId w:val="46"/>
        </w:numPr>
        <w:spacing w:after="0" w:line="240" w:lineRule="auto"/>
        <w:jc w:val="both"/>
        <w:rPr>
          <w:snapToGrid w:val="0"/>
        </w:rPr>
      </w:pPr>
      <w:r w:rsidRPr="00E3220A">
        <w:rPr>
          <w:snapToGrid w:val="0"/>
        </w:rPr>
        <w:t xml:space="preserve">Sinusitis aguda secundaria a infección </w:t>
      </w:r>
      <w:proofErr w:type="spellStart"/>
      <w:r w:rsidRPr="00E3220A">
        <w:rPr>
          <w:snapToGrid w:val="0"/>
        </w:rPr>
        <w:t>odontogénica</w:t>
      </w:r>
      <w:proofErr w:type="spellEnd"/>
      <w:r w:rsidRPr="00E3220A">
        <w:rPr>
          <w:snapToGrid w:val="0"/>
        </w:rPr>
        <w:t>.</w:t>
      </w:r>
    </w:p>
    <w:p w:rsidR="00AF4136" w:rsidRPr="00E3220A" w:rsidRDefault="00AF4136" w:rsidP="00396EBC">
      <w:pPr>
        <w:numPr>
          <w:ilvl w:val="0"/>
          <w:numId w:val="46"/>
        </w:numPr>
        <w:spacing w:after="0" w:line="240" w:lineRule="auto"/>
        <w:jc w:val="both"/>
        <w:rPr>
          <w:snapToGrid w:val="0"/>
        </w:rPr>
      </w:pPr>
      <w:proofErr w:type="spellStart"/>
      <w:r w:rsidRPr="00E3220A">
        <w:rPr>
          <w:snapToGrid w:val="0"/>
        </w:rPr>
        <w:t>Rinosinusitis</w:t>
      </w:r>
      <w:proofErr w:type="spellEnd"/>
      <w:r w:rsidRPr="00E3220A">
        <w:rPr>
          <w:snapToGrid w:val="0"/>
        </w:rPr>
        <w:t xml:space="preserve"> aguda, luego del fallo al tratamiento con amoxicilina (agravamiento en las  primeras 72 </w:t>
      </w:r>
      <w:proofErr w:type="spellStart"/>
      <w:r w:rsidRPr="00E3220A">
        <w:rPr>
          <w:snapToGrid w:val="0"/>
        </w:rPr>
        <w:t>hs</w:t>
      </w:r>
      <w:proofErr w:type="spellEnd"/>
      <w:r w:rsidRPr="00E3220A">
        <w:rPr>
          <w:snapToGrid w:val="0"/>
        </w:rPr>
        <w:t xml:space="preserve"> o  persistencia de los síntomas a  los 5 días de iniciado).</w:t>
      </w:r>
    </w:p>
    <w:p w:rsidR="00AF4136" w:rsidRPr="00E3220A" w:rsidRDefault="00AF4136" w:rsidP="00396EBC">
      <w:pPr>
        <w:numPr>
          <w:ilvl w:val="0"/>
          <w:numId w:val="46"/>
        </w:numPr>
        <w:spacing w:after="0" w:line="240" w:lineRule="auto"/>
        <w:jc w:val="both"/>
        <w:rPr>
          <w:snapToGrid w:val="0"/>
        </w:rPr>
      </w:pPr>
      <w:r w:rsidRPr="00E3220A">
        <w:rPr>
          <w:snapToGrid w:val="0"/>
        </w:rPr>
        <w:lastRenderedPageBreak/>
        <w:t xml:space="preserve">Otitis media aguda con falta de respuesta a </w:t>
      </w:r>
      <w:proofErr w:type="spellStart"/>
      <w:r w:rsidRPr="00E3220A">
        <w:rPr>
          <w:snapToGrid w:val="0"/>
        </w:rPr>
        <w:t>aminopenicilinas</w:t>
      </w:r>
      <w:proofErr w:type="spellEnd"/>
      <w:r w:rsidRPr="00E3220A">
        <w:rPr>
          <w:snapToGrid w:val="0"/>
        </w:rPr>
        <w:t xml:space="preserve"> luego de 72 horas o en pacientes inmunodeprimidos.</w:t>
      </w:r>
    </w:p>
    <w:p w:rsidR="00AF4136" w:rsidRPr="00E3220A" w:rsidRDefault="00AF4136" w:rsidP="00AF4136">
      <w:pPr>
        <w:ind w:left="360"/>
        <w:jc w:val="both"/>
        <w:rPr>
          <w:snapToGrid w:val="0"/>
        </w:rPr>
      </w:pPr>
      <w:r w:rsidRPr="00E3220A">
        <w:rPr>
          <w:snapToGrid w:val="0"/>
          <w:u w:val="single"/>
        </w:rPr>
        <w:t>Dosis:</w:t>
      </w:r>
      <w:r w:rsidRPr="00E3220A">
        <w:rPr>
          <w:snapToGrid w:val="0"/>
        </w:rPr>
        <w:t xml:space="preserve"> 500-2000 mg/día cada 12 horas; en niños 30mg/kg/día en 3 tomas.</w:t>
      </w:r>
    </w:p>
    <w:p w:rsidR="00AF4136" w:rsidRPr="00E3220A" w:rsidRDefault="00AF4136" w:rsidP="00AF4136">
      <w:pPr>
        <w:tabs>
          <w:tab w:val="left" w:pos="1320"/>
        </w:tabs>
        <w:ind w:left="113"/>
        <w:rPr>
          <w:rFonts w:cs="Arial"/>
        </w:rPr>
      </w:pPr>
    </w:p>
    <w:p w:rsidR="00AF4136" w:rsidRPr="00E3220A" w:rsidRDefault="00AF4136" w:rsidP="00AF4136">
      <w:pPr>
        <w:tabs>
          <w:tab w:val="left" w:pos="1320"/>
        </w:tabs>
        <w:ind w:left="113"/>
        <w:rPr>
          <w:rFonts w:cs="Arial"/>
          <w:b/>
          <w:i/>
          <w:color w:val="00B050"/>
        </w:rPr>
      </w:pPr>
      <w:r w:rsidRPr="00E3220A">
        <w:rPr>
          <w:rFonts w:cs="Arial"/>
          <w:b/>
          <w:i/>
          <w:color w:val="00B050"/>
        </w:rPr>
        <w:t>J01DA</w:t>
      </w:r>
      <w:r w:rsidRPr="00E3220A">
        <w:rPr>
          <w:rFonts w:cs="Arial"/>
          <w:b/>
          <w:i/>
          <w:color w:val="00B050"/>
        </w:rPr>
        <w:tab/>
        <w:t>CEFALOSPORINAS Y SUSTANCIAS RELACIONADAS</w:t>
      </w:r>
    </w:p>
    <w:p w:rsidR="00AF4136" w:rsidRPr="00E3220A" w:rsidRDefault="00AF4136" w:rsidP="00AF4136">
      <w:pPr>
        <w:tabs>
          <w:tab w:val="left" w:pos="1320"/>
        </w:tabs>
        <w:ind w:left="113"/>
        <w:rPr>
          <w:rFonts w:cs="Arial"/>
          <w:b/>
          <w:i/>
          <w:color w:val="00B050"/>
        </w:rPr>
      </w:pPr>
      <w:r w:rsidRPr="00E3220A">
        <w:rPr>
          <w:rFonts w:cs="Arial"/>
          <w:b/>
          <w:i/>
          <w:color w:val="00B050"/>
        </w:rPr>
        <w:t>J01DA13</w:t>
      </w:r>
      <w:r w:rsidRPr="00E3220A">
        <w:rPr>
          <w:rFonts w:cs="Arial"/>
          <w:b/>
          <w:i/>
          <w:color w:val="00B050"/>
        </w:rPr>
        <w:tab/>
        <w:t xml:space="preserve">CEFTRIAXONA </w:t>
      </w:r>
    </w:p>
    <w:p w:rsidR="00AF4136" w:rsidRPr="00E3220A" w:rsidRDefault="00AF4136" w:rsidP="00396EBC">
      <w:pPr>
        <w:numPr>
          <w:ilvl w:val="0"/>
          <w:numId w:val="47"/>
        </w:numPr>
        <w:spacing w:after="0" w:line="240" w:lineRule="auto"/>
        <w:jc w:val="both"/>
        <w:rPr>
          <w:rFonts w:cs="Arial"/>
          <w:b/>
        </w:rPr>
      </w:pPr>
      <w:r w:rsidRPr="00E3220A">
        <w:rPr>
          <w:snapToGrid w:val="0"/>
        </w:rPr>
        <w:t xml:space="preserve">Fármaco de elección para la uretritis, artritis y conjuntivitis </w:t>
      </w:r>
      <w:proofErr w:type="spellStart"/>
      <w:r w:rsidRPr="00E3220A">
        <w:rPr>
          <w:snapToGrid w:val="0"/>
        </w:rPr>
        <w:t>gonocóccica</w:t>
      </w:r>
      <w:proofErr w:type="spellEnd"/>
      <w:r w:rsidRPr="00E3220A">
        <w:rPr>
          <w:snapToGrid w:val="0"/>
        </w:rPr>
        <w:t>. Dosis: 1-2 gr cada 12 horas por vía IM o EV.</w:t>
      </w:r>
    </w:p>
    <w:p w:rsidR="00AF4136" w:rsidRPr="00E3220A" w:rsidRDefault="00AF4136" w:rsidP="00396EBC">
      <w:pPr>
        <w:numPr>
          <w:ilvl w:val="0"/>
          <w:numId w:val="47"/>
        </w:numPr>
        <w:spacing w:after="0" w:line="240" w:lineRule="auto"/>
        <w:jc w:val="both"/>
        <w:rPr>
          <w:snapToGrid w:val="0"/>
        </w:rPr>
      </w:pPr>
      <w:r w:rsidRPr="00E3220A">
        <w:rPr>
          <w:snapToGrid w:val="0"/>
        </w:rPr>
        <w:t xml:space="preserve">Pacientes con infecciones </w:t>
      </w:r>
      <w:proofErr w:type="spellStart"/>
      <w:r w:rsidRPr="00E3220A">
        <w:rPr>
          <w:snapToGrid w:val="0"/>
        </w:rPr>
        <w:t>gonocóccicas</w:t>
      </w:r>
      <w:proofErr w:type="spellEnd"/>
      <w:r w:rsidRPr="00E3220A">
        <w:rPr>
          <w:snapToGrid w:val="0"/>
        </w:rPr>
        <w:t xml:space="preserve"> de cuello uterino, recto o uretra documentadas a través de examen directo con técnica de Gram. Dosis: 250 mg por vía IM en dosis única.</w:t>
      </w:r>
    </w:p>
    <w:p w:rsidR="00AF4136" w:rsidRPr="00E3220A" w:rsidRDefault="00AF4136" w:rsidP="00396EBC">
      <w:pPr>
        <w:numPr>
          <w:ilvl w:val="0"/>
          <w:numId w:val="47"/>
        </w:numPr>
        <w:spacing w:after="0" w:line="240" w:lineRule="auto"/>
        <w:jc w:val="both"/>
        <w:rPr>
          <w:snapToGrid w:val="0"/>
        </w:rPr>
      </w:pPr>
      <w:r w:rsidRPr="00E3220A">
        <w:rPr>
          <w:snapToGrid w:val="0"/>
        </w:rPr>
        <w:t xml:space="preserve">Enfermedad inflamatoria pelviana. Dosis: 1gr cada 12 horas por vía IM o EV asociado a </w:t>
      </w:r>
      <w:proofErr w:type="spellStart"/>
      <w:r w:rsidRPr="00E3220A">
        <w:rPr>
          <w:snapToGrid w:val="0"/>
        </w:rPr>
        <w:t>doxiciclina</w:t>
      </w:r>
      <w:proofErr w:type="spellEnd"/>
      <w:r w:rsidRPr="00E3220A">
        <w:rPr>
          <w:snapToGrid w:val="0"/>
        </w:rPr>
        <w:t>.</w:t>
      </w:r>
    </w:p>
    <w:p w:rsidR="00AF4136" w:rsidRPr="00E3220A" w:rsidRDefault="00AF4136" w:rsidP="00396EBC">
      <w:pPr>
        <w:numPr>
          <w:ilvl w:val="0"/>
          <w:numId w:val="47"/>
        </w:numPr>
        <w:spacing w:after="0" w:line="240" w:lineRule="auto"/>
        <w:jc w:val="both"/>
        <w:rPr>
          <w:snapToGrid w:val="0"/>
        </w:rPr>
      </w:pPr>
      <w:r w:rsidRPr="00E3220A">
        <w:rPr>
          <w:snapToGrid w:val="0"/>
        </w:rPr>
        <w:t xml:space="preserve">Infección invasiva por Salmonella. </w:t>
      </w:r>
    </w:p>
    <w:p w:rsidR="00AF4136" w:rsidRPr="00E3220A" w:rsidRDefault="00AF4136" w:rsidP="00396EBC">
      <w:pPr>
        <w:numPr>
          <w:ilvl w:val="0"/>
          <w:numId w:val="47"/>
        </w:numPr>
        <w:spacing w:after="0" w:line="240" w:lineRule="auto"/>
        <w:jc w:val="both"/>
        <w:rPr>
          <w:snapToGrid w:val="0"/>
        </w:rPr>
      </w:pPr>
      <w:r w:rsidRPr="00E3220A">
        <w:rPr>
          <w:snapToGrid w:val="0"/>
        </w:rPr>
        <w:t>Infección del tracto urinario (ITU) en la embarazada.</w:t>
      </w:r>
    </w:p>
    <w:p w:rsidR="00AF4136" w:rsidRPr="00E3220A" w:rsidRDefault="00AF4136" w:rsidP="00396EBC">
      <w:pPr>
        <w:numPr>
          <w:ilvl w:val="0"/>
          <w:numId w:val="47"/>
        </w:numPr>
        <w:spacing w:after="0" w:line="240" w:lineRule="auto"/>
        <w:jc w:val="both"/>
        <w:rPr>
          <w:snapToGrid w:val="0"/>
        </w:rPr>
      </w:pPr>
      <w:r w:rsidRPr="00E3220A">
        <w:rPr>
          <w:snapToGrid w:val="0"/>
        </w:rPr>
        <w:t>Tratamiento de alternativa en pacientes con neumonía adquirida de la comunidad, con comorbilidades y que no presentan criterios clínicos de internación. Dosis: 1gr cada 12 horas por vía IM o EV</w:t>
      </w:r>
    </w:p>
    <w:p w:rsidR="00AF4136" w:rsidRPr="00E3220A" w:rsidRDefault="00AF4136" w:rsidP="00AF4136">
      <w:pPr>
        <w:tabs>
          <w:tab w:val="left" w:pos="1320"/>
        </w:tabs>
        <w:ind w:left="113"/>
        <w:rPr>
          <w:rFonts w:cs="Arial"/>
        </w:rPr>
      </w:pPr>
    </w:p>
    <w:p w:rsidR="00AF4136" w:rsidRPr="00E3220A" w:rsidRDefault="00AF4136" w:rsidP="00AF4136">
      <w:pPr>
        <w:tabs>
          <w:tab w:val="left" w:pos="1320"/>
        </w:tabs>
        <w:ind w:left="113"/>
        <w:rPr>
          <w:rFonts w:cs="Arial"/>
          <w:b/>
          <w:i/>
          <w:color w:val="00B050"/>
        </w:rPr>
      </w:pPr>
      <w:r w:rsidRPr="00E3220A">
        <w:rPr>
          <w:rFonts w:cs="Arial"/>
          <w:b/>
          <w:i/>
          <w:color w:val="00B050"/>
        </w:rPr>
        <w:t>J01FA</w:t>
      </w:r>
      <w:r w:rsidRPr="00E3220A">
        <w:rPr>
          <w:rFonts w:cs="Arial"/>
          <w:b/>
          <w:i/>
          <w:color w:val="00B050"/>
        </w:rPr>
        <w:tab/>
        <w:t>MACROLIDOS</w:t>
      </w:r>
    </w:p>
    <w:p w:rsidR="00AF4136" w:rsidRPr="00E3220A" w:rsidRDefault="00AF4136" w:rsidP="00AF4136">
      <w:pPr>
        <w:tabs>
          <w:tab w:val="left" w:pos="1320"/>
        </w:tabs>
        <w:ind w:left="113"/>
        <w:rPr>
          <w:rFonts w:cs="Arial"/>
          <w:b/>
          <w:i/>
          <w:color w:val="00B050"/>
        </w:rPr>
      </w:pPr>
      <w:r w:rsidRPr="00E3220A">
        <w:rPr>
          <w:rFonts w:cs="Arial"/>
          <w:b/>
          <w:i/>
          <w:color w:val="00B050"/>
        </w:rPr>
        <w:t>J01FA09</w:t>
      </w:r>
      <w:r w:rsidRPr="00E3220A">
        <w:rPr>
          <w:rFonts w:cs="Arial"/>
          <w:b/>
          <w:i/>
          <w:color w:val="00B050"/>
        </w:rPr>
        <w:tab/>
        <w:t xml:space="preserve">CLARITROMICINA </w:t>
      </w:r>
    </w:p>
    <w:p w:rsidR="00AF4136" w:rsidRPr="00E3220A" w:rsidRDefault="00AF4136" w:rsidP="00396EBC">
      <w:pPr>
        <w:numPr>
          <w:ilvl w:val="0"/>
          <w:numId w:val="48"/>
        </w:numPr>
        <w:spacing w:after="0" w:line="240" w:lineRule="auto"/>
        <w:jc w:val="both"/>
        <w:rPr>
          <w:snapToGrid w:val="0"/>
        </w:rPr>
      </w:pPr>
      <w:r w:rsidRPr="00E3220A">
        <w:rPr>
          <w:snapToGrid w:val="0"/>
        </w:rPr>
        <w:t xml:space="preserve">Pacientes con diagnóstico clínico y radiológico de neumonitis incluyendo sospecha de </w:t>
      </w:r>
      <w:proofErr w:type="spellStart"/>
      <w:r w:rsidRPr="00E3220A">
        <w:rPr>
          <w:snapToGrid w:val="0"/>
        </w:rPr>
        <w:t>micobacterium</w:t>
      </w:r>
      <w:proofErr w:type="spellEnd"/>
      <w:r w:rsidRPr="00E3220A">
        <w:rPr>
          <w:snapToGrid w:val="0"/>
        </w:rPr>
        <w:t xml:space="preserve"> </w:t>
      </w:r>
      <w:proofErr w:type="spellStart"/>
      <w:r w:rsidRPr="00E3220A">
        <w:rPr>
          <w:snapToGrid w:val="0"/>
        </w:rPr>
        <w:t>avium</w:t>
      </w:r>
      <w:proofErr w:type="spellEnd"/>
      <w:r w:rsidRPr="00E3220A">
        <w:rPr>
          <w:snapToGrid w:val="0"/>
        </w:rPr>
        <w:t>. Dosis: 250-500 mg cada 12 horas por 7-14 días.</w:t>
      </w:r>
    </w:p>
    <w:p w:rsidR="00AF4136" w:rsidRPr="00E3220A" w:rsidRDefault="00AF4136" w:rsidP="00396EBC">
      <w:pPr>
        <w:numPr>
          <w:ilvl w:val="0"/>
          <w:numId w:val="48"/>
        </w:numPr>
        <w:spacing w:after="0" w:line="240" w:lineRule="auto"/>
        <w:jc w:val="both"/>
        <w:rPr>
          <w:snapToGrid w:val="0"/>
        </w:rPr>
      </w:pPr>
      <w:r w:rsidRPr="00E3220A">
        <w:rPr>
          <w:snapToGrid w:val="0"/>
        </w:rPr>
        <w:t xml:space="preserve">Pacientes con diagnóstico de neumonía de la comunidad e indicación de un </w:t>
      </w:r>
      <w:proofErr w:type="spellStart"/>
      <w:r w:rsidRPr="00E3220A">
        <w:rPr>
          <w:snapToGrid w:val="0"/>
        </w:rPr>
        <w:t>macrólido</w:t>
      </w:r>
      <w:proofErr w:type="spellEnd"/>
      <w:r w:rsidRPr="00E3220A">
        <w:rPr>
          <w:snapToGrid w:val="0"/>
        </w:rPr>
        <w:t xml:space="preserve"> (presentación atípica). Dosis: 250-500 mg cada 12 horas por 7-14 días.</w:t>
      </w:r>
    </w:p>
    <w:p w:rsidR="00AF4136" w:rsidRPr="00E3220A" w:rsidRDefault="00AF4136" w:rsidP="00396EBC">
      <w:pPr>
        <w:numPr>
          <w:ilvl w:val="0"/>
          <w:numId w:val="48"/>
        </w:numPr>
        <w:spacing w:after="0" w:line="240" w:lineRule="auto"/>
        <w:jc w:val="both"/>
        <w:rPr>
          <w:snapToGrid w:val="0"/>
        </w:rPr>
      </w:pPr>
      <w:r w:rsidRPr="00E3220A">
        <w:rPr>
          <w:snapToGrid w:val="0"/>
        </w:rPr>
        <w:t xml:space="preserve">Erradicación de </w:t>
      </w:r>
      <w:proofErr w:type="spellStart"/>
      <w:r w:rsidRPr="00E3220A">
        <w:rPr>
          <w:snapToGrid w:val="0"/>
        </w:rPr>
        <w:t>helicobácter</w:t>
      </w:r>
      <w:proofErr w:type="spellEnd"/>
      <w:r w:rsidRPr="00E3220A">
        <w:rPr>
          <w:snapToGrid w:val="0"/>
        </w:rPr>
        <w:t xml:space="preserve"> pylori en esquema dual (con inhibidor de bomba de protones) o triple (con inhibidor de bomba de protones + amoxicilina). Dosis: 500 mg cada 12 horas por 10 días.</w:t>
      </w:r>
    </w:p>
    <w:p w:rsidR="00AF4136" w:rsidRPr="00E3220A" w:rsidRDefault="00AF4136" w:rsidP="00396EBC">
      <w:pPr>
        <w:numPr>
          <w:ilvl w:val="0"/>
          <w:numId w:val="48"/>
        </w:numPr>
        <w:spacing w:after="0" w:line="240" w:lineRule="auto"/>
        <w:jc w:val="both"/>
        <w:rPr>
          <w:snapToGrid w:val="0"/>
        </w:rPr>
      </w:pPr>
      <w:r w:rsidRPr="00E3220A">
        <w:rPr>
          <w:snapToGrid w:val="0"/>
        </w:rPr>
        <w:t>Tratamiento de segunda línea ante fallo a la amoxicilina en la sinusitis aguda. Dosis: 500 mg cada 12 horas por 10-14 días.</w:t>
      </w:r>
    </w:p>
    <w:p w:rsidR="00AF4136" w:rsidRPr="00E3220A" w:rsidRDefault="00AF4136" w:rsidP="00AF4136">
      <w:pPr>
        <w:tabs>
          <w:tab w:val="left" w:pos="1320"/>
        </w:tabs>
        <w:ind w:left="113"/>
        <w:rPr>
          <w:rFonts w:cs="Arial"/>
          <w:b/>
          <w:i/>
          <w:color w:val="00B050"/>
        </w:rPr>
      </w:pPr>
    </w:p>
    <w:p w:rsidR="00AF4136" w:rsidRPr="00E3220A" w:rsidRDefault="00AF4136" w:rsidP="00AF4136">
      <w:pPr>
        <w:tabs>
          <w:tab w:val="left" w:pos="1320"/>
        </w:tabs>
        <w:ind w:left="113"/>
        <w:rPr>
          <w:rFonts w:cs="Arial"/>
          <w:b/>
          <w:i/>
          <w:color w:val="00B050"/>
        </w:rPr>
      </w:pPr>
      <w:r w:rsidRPr="00E3220A">
        <w:rPr>
          <w:rFonts w:cs="Arial"/>
          <w:b/>
          <w:i/>
          <w:color w:val="00B050"/>
        </w:rPr>
        <w:t>J01FA10</w:t>
      </w:r>
      <w:r w:rsidRPr="00E3220A">
        <w:rPr>
          <w:rFonts w:cs="Arial"/>
          <w:b/>
          <w:i/>
          <w:color w:val="00B050"/>
        </w:rPr>
        <w:tab/>
        <w:t xml:space="preserve">AZITROMICINA </w:t>
      </w:r>
    </w:p>
    <w:p w:rsidR="00AF4136" w:rsidRPr="00E3220A" w:rsidRDefault="00AF4136" w:rsidP="00396EBC">
      <w:pPr>
        <w:numPr>
          <w:ilvl w:val="0"/>
          <w:numId w:val="49"/>
        </w:numPr>
        <w:spacing w:after="0" w:line="240" w:lineRule="auto"/>
        <w:jc w:val="both"/>
        <w:rPr>
          <w:snapToGrid w:val="0"/>
        </w:rPr>
      </w:pPr>
      <w:r w:rsidRPr="00E3220A">
        <w:rPr>
          <w:snapToGrid w:val="0"/>
        </w:rPr>
        <w:t xml:space="preserve">Infecciones del tracto respiratorio (sinusitis, faringitis o amigdalitis agudas) en caso de intolerancia o fallo a la primera línea de tratamiento (amoxicilina - </w:t>
      </w:r>
      <w:proofErr w:type="spellStart"/>
      <w:r w:rsidRPr="00E3220A">
        <w:rPr>
          <w:snapToGrid w:val="0"/>
        </w:rPr>
        <w:t>fenoximetilpenicilina</w:t>
      </w:r>
      <w:proofErr w:type="spellEnd"/>
      <w:r w:rsidRPr="00E3220A">
        <w:rPr>
          <w:snapToGrid w:val="0"/>
        </w:rPr>
        <w:t xml:space="preserve">) o como primera opción en caso de alergia a </w:t>
      </w:r>
      <w:proofErr w:type="spellStart"/>
      <w:r w:rsidRPr="00E3220A">
        <w:rPr>
          <w:snapToGrid w:val="0"/>
        </w:rPr>
        <w:t>betalactámicos</w:t>
      </w:r>
      <w:proofErr w:type="spellEnd"/>
      <w:r w:rsidRPr="00E3220A">
        <w:rPr>
          <w:snapToGrid w:val="0"/>
        </w:rPr>
        <w:t xml:space="preserve"> y/o en opciones de tratamiento con pautas terapéuticas con adecuada relación beneficio-costo. Dosis: 500 mg el día 1 seguido de 250 mg/día, entre los días 2-5.</w:t>
      </w:r>
    </w:p>
    <w:p w:rsidR="00AF4136" w:rsidRPr="00E3220A" w:rsidRDefault="00AF4136" w:rsidP="00396EBC">
      <w:pPr>
        <w:numPr>
          <w:ilvl w:val="0"/>
          <w:numId w:val="49"/>
        </w:numPr>
        <w:spacing w:after="0" w:line="240" w:lineRule="auto"/>
        <w:jc w:val="both"/>
        <w:rPr>
          <w:snapToGrid w:val="0"/>
        </w:rPr>
      </w:pPr>
      <w:r w:rsidRPr="00E3220A">
        <w:rPr>
          <w:snapToGrid w:val="0"/>
        </w:rPr>
        <w:t>Pacientes con enfermedad inflamatoria pelviana cuando se requiera iniciar terapia EV. Dosis: 500 mg/día EV por 2 días seguidos de 250 mg/día orales por 7 días.</w:t>
      </w:r>
    </w:p>
    <w:p w:rsidR="00AF4136" w:rsidRPr="00E3220A" w:rsidRDefault="00AF4136" w:rsidP="00396EBC">
      <w:pPr>
        <w:numPr>
          <w:ilvl w:val="0"/>
          <w:numId w:val="49"/>
        </w:numPr>
        <w:spacing w:after="0" w:line="240" w:lineRule="auto"/>
        <w:jc w:val="both"/>
        <w:rPr>
          <w:snapToGrid w:val="0"/>
        </w:rPr>
      </w:pPr>
      <w:r w:rsidRPr="00E3220A">
        <w:rPr>
          <w:snapToGrid w:val="0"/>
        </w:rPr>
        <w:t>Uretritis no gonocócica, cuando no puedan utilizarse tetraciclinas. Dosis: 1-2 gr en administración única.</w:t>
      </w:r>
    </w:p>
    <w:p w:rsidR="00AF4136" w:rsidRPr="00E3220A" w:rsidRDefault="00AF4136" w:rsidP="00396EBC">
      <w:pPr>
        <w:numPr>
          <w:ilvl w:val="0"/>
          <w:numId w:val="49"/>
        </w:numPr>
        <w:spacing w:after="0" w:line="240" w:lineRule="auto"/>
        <w:jc w:val="both"/>
        <w:rPr>
          <w:snapToGrid w:val="0"/>
        </w:rPr>
      </w:pPr>
      <w:r w:rsidRPr="00E3220A">
        <w:rPr>
          <w:snapToGrid w:val="0"/>
        </w:rPr>
        <w:t xml:space="preserve">Neumonía adquirida en la comunidad con presentación atípica e infecciones del tracto respiratorio superior producidas por </w:t>
      </w:r>
      <w:proofErr w:type="spellStart"/>
      <w:r w:rsidRPr="00E3220A">
        <w:rPr>
          <w:snapToGrid w:val="0"/>
        </w:rPr>
        <w:t>haemophilus</w:t>
      </w:r>
      <w:proofErr w:type="spellEnd"/>
      <w:r w:rsidRPr="00E3220A">
        <w:rPr>
          <w:snapToGrid w:val="0"/>
        </w:rPr>
        <w:t xml:space="preserve"> </w:t>
      </w:r>
      <w:proofErr w:type="spellStart"/>
      <w:r w:rsidRPr="00E3220A">
        <w:rPr>
          <w:snapToGrid w:val="0"/>
        </w:rPr>
        <w:t>influenzae</w:t>
      </w:r>
      <w:proofErr w:type="spellEnd"/>
      <w:r w:rsidRPr="00E3220A">
        <w:rPr>
          <w:snapToGrid w:val="0"/>
        </w:rPr>
        <w:t>. Dosis: 500 mg/día EV por 2 días seguidos de 500 mg/día orales por 7-10  días.</w:t>
      </w:r>
    </w:p>
    <w:p w:rsidR="00AF4136" w:rsidRDefault="00AF4136" w:rsidP="00396EBC">
      <w:pPr>
        <w:numPr>
          <w:ilvl w:val="0"/>
          <w:numId w:val="49"/>
        </w:numPr>
        <w:spacing w:after="0" w:line="240" w:lineRule="auto"/>
        <w:jc w:val="both"/>
        <w:rPr>
          <w:snapToGrid w:val="0"/>
        </w:rPr>
      </w:pPr>
      <w:r w:rsidRPr="00E3220A">
        <w:rPr>
          <w:snapToGrid w:val="0"/>
        </w:rPr>
        <w:lastRenderedPageBreak/>
        <w:t xml:space="preserve">Prevención y tratamiento de infecciones producidas por </w:t>
      </w:r>
      <w:proofErr w:type="spellStart"/>
      <w:r w:rsidRPr="00E3220A">
        <w:rPr>
          <w:snapToGrid w:val="0"/>
        </w:rPr>
        <w:t>micobacterium</w:t>
      </w:r>
      <w:proofErr w:type="spellEnd"/>
      <w:r w:rsidRPr="00E3220A">
        <w:rPr>
          <w:snapToGrid w:val="0"/>
        </w:rPr>
        <w:t xml:space="preserve"> </w:t>
      </w:r>
      <w:proofErr w:type="spellStart"/>
      <w:r w:rsidRPr="00E3220A">
        <w:rPr>
          <w:snapToGrid w:val="0"/>
        </w:rPr>
        <w:t>avium</w:t>
      </w:r>
      <w:proofErr w:type="spellEnd"/>
      <w:r w:rsidRPr="00E3220A">
        <w:rPr>
          <w:snapToGrid w:val="0"/>
        </w:rPr>
        <w:t xml:space="preserve">. Dosis: 600-1200 mg/día sola o asociada a </w:t>
      </w:r>
      <w:proofErr w:type="spellStart"/>
      <w:r w:rsidRPr="00E3220A">
        <w:rPr>
          <w:snapToGrid w:val="0"/>
        </w:rPr>
        <w:t>rifampicina</w:t>
      </w:r>
      <w:proofErr w:type="spellEnd"/>
      <w:r w:rsidRPr="00E3220A">
        <w:rPr>
          <w:snapToGrid w:val="0"/>
        </w:rPr>
        <w:t xml:space="preserve"> + </w:t>
      </w:r>
      <w:proofErr w:type="spellStart"/>
      <w:r w:rsidRPr="00E3220A">
        <w:rPr>
          <w:snapToGrid w:val="0"/>
        </w:rPr>
        <w:t>trimetoprima</w:t>
      </w:r>
      <w:proofErr w:type="spellEnd"/>
      <w:r w:rsidRPr="00E3220A">
        <w:rPr>
          <w:snapToGrid w:val="0"/>
        </w:rPr>
        <w:t xml:space="preserve"> o </w:t>
      </w:r>
      <w:proofErr w:type="spellStart"/>
      <w:r w:rsidRPr="00E3220A">
        <w:rPr>
          <w:snapToGrid w:val="0"/>
        </w:rPr>
        <w:t>etambutol</w:t>
      </w:r>
      <w:proofErr w:type="spellEnd"/>
      <w:r w:rsidRPr="00E3220A">
        <w:rPr>
          <w:snapToGrid w:val="0"/>
        </w:rPr>
        <w:t>.</w:t>
      </w:r>
    </w:p>
    <w:p w:rsidR="00E3220A" w:rsidRDefault="00E3220A" w:rsidP="00E3220A">
      <w:pPr>
        <w:spacing w:after="0" w:line="240" w:lineRule="auto"/>
        <w:ind w:left="1080"/>
        <w:jc w:val="both"/>
        <w:rPr>
          <w:snapToGrid w:val="0"/>
        </w:rPr>
      </w:pPr>
    </w:p>
    <w:p w:rsidR="00E3220A" w:rsidRPr="00E3220A" w:rsidRDefault="00E3220A" w:rsidP="00E3220A">
      <w:pPr>
        <w:spacing w:after="0" w:line="240" w:lineRule="auto"/>
        <w:ind w:left="1080"/>
        <w:jc w:val="both"/>
        <w:rPr>
          <w:snapToGrid w:val="0"/>
        </w:rPr>
      </w:pPr>
    </w:p>
    <w:p w:rsidR="00E3220A" w:rsidRPr="000857B4" w:rsidRDefault="00E3220A" w:rsidP="00E3220A">
      <w:pPr>
        <w:jc w:val="both"/>
        <w:rPr>
          <w:b/>
          <w:i/>
          <w:color w:val="00B050"/>
          <w:lang w:val="pt-BR"/>
        </w:rPr>
      </w:pPr>
      <w:r w:rsidRPr="000857B4">
        <w:rPr>
          <w:b/>
          <w:i/>
          <w:color w:val="00B050"/>
          <w:lang w:val="pt-BR"/>
        </w:rPr>
        <w:t>J01GA01 ESTREPTOMICINA</w:t>
      </w:r>
    </w:p>
    <w:p w:rsidR="00AF4136" w:rsidRPr="00E3220A" w:rsidRDefault="00AF4136" w:rsidP="00AF4136">
      <w:pPr>
        <w:tabs>
          <w:tab w:val="left" w:pos="1320"/>
        </w:tabs>
        <w:ind w:left="113"/>
        <w:rPr>
          <w:rFonts w:cs="Arial"/>
        </w:rPr>
      </w:pPr>
    </w:p>
    <w:p w:rsidR="00AF4136" w:rsidRPr="00E3220A" w:rsidRDefault="00AF4136" w:rsidP="00AF4136">
      <w:pPr>
        <w:tabs>
          <w:tab w:val="left" w:pos="1320"/>
        </w:tabs>
        <w:ind w:left="113"/>
        <w:rPr>
          <w:rFonts w:cs="Arial"/>
          <w:b/>
          <w:i/>
          <w:color w:val="00B050"/>
        </w:rPr>
      </w:pPr>
      <w:r w:rsidRPr="00E3220A">
        <w:rPr>
          <w:rFonts w:cs="Arial"/>
          <w:b/>
          <w:i/>
          <w:color w:val="00B050"/>
        </w:rPr>
        <w:t>J01MA</w:t>
      </w:r>
      <w:r w:rsidRPr="00E3220A">
        <w:rPr>
          <w:rFonts w:cs="Arial"/>
          <w:b/>
          <w:i/>
          <w:color w:val="00B050"/>
        </w:rPr>
        <w:tab/>
        <w:t>FLUOROQUINOLONAS</w:t>
      </w:r>
    </w:p>
    <w:p w:rsidR="00AF4136" w:rsidRPr="00E3220A" w:rsidRDefault="00AF4136" w:rsidP="00AF4136">
      <w:pPr>
        <w:tabs>
          <w:tab w:val="left" w:pos="1320"/>
        </w:tabs>
        <w:ind w:left="113"/>
        <w:rPr>
          <w:rFonts w:cs="Arial"/>
          <w:b/>
          <w:i/>
          <w:color w:val="00B050"/>
        </w:rPr>
      </w:pPr>
      <w:r w:rsidRPr="00E3220A">
        <w:rPr>
          <w:rFonts w:cs="Arial"/>
          <w:b/>
          <w:i/>
          <w:color w:val="00B050"/>
        </w:rPr>
        <w:t>J01MA02</w:t>
      </w:r>
      <w:r w:rsidRPr="00E3220A">
        <w:rPr>
          <w:rFonts w:cs="Arial"/>
          <w:b/>
          <w:i/>
          <w:color w:val="00B050"/>
        </w:rPr>
        <w:tab/>
        <w:t xml:space="preserve">CIPROFLOXACINA </w:t>
      </w:r>
    </w:p>
    <w:p w:rsidR="00AF4136" w:rsidRPr="00E3220A" w:rsidRDefault="00AF4136" w:rsidP="00396EBC">
      <w:pPr>
        <w:numPr>
          <w:ilvl w:val="0"/>
          <w:numId w:val="50"/>
        </w:numPr>
        <w:spacing w:after="0" w:line="240" w:lineRule="auto"/>
        <w:jc w:val="both"/>
        <w:rPr>
          <w:snapToGrid w:val="0"/>
        </w:rPr>
      </w:pPr>
      <w:r w:rsidRPr="00E3220A">
        <w:rPr>
          <w:snapToGrid w:val="0"/>
        </w:rPr>
        <w:t>Tratamiento empírico del pie diabético con infección severa que amenaza la integridad del miembro. Dosis: 500-750 mg cada 12 horas por vía oral.</w:t>
      </w:r>
    </w:p>
    <w:p w:rsidR="00AF4136" w:rsidRPr="00E3220A" w:rsidRDefault="00AF4136" w:rsidP="00396EBC">
      <w:pPr>
        <w:numPr>
          <w:ilvl w:val="0"/>
          <w:numId w:val="50"/>
        </w:numPr>
        <w:spacing w:after="0" w:line="240" w:lineRule="auto"/>
        <w:jc w:val="both"/>
        <w:rPr>
          <w:snapToGrid w:val="0"/>
        </w:rPr>
      </w:pPr>
      <w:r w:rsidRPr="00E3220A">
        <w:rPr>
          <w:snapToGrid w:val="0"/>
        </w:rPr>
        <w:t xml:space="preserve">Exacerbación de infección respiratoria aguda por </w:t>
      </w:r>
      <w:proofErr w:type="spellStart"/>
      <w:r w:rsidRPr="00E3220A">
        <w:rPr>
          <w:snapToGrid w:val="0"/>
        </w:rPr>
        <w:t>Pseudomona</w:t>
      </w:r>
      <w:proofErr w:type="spellEnd"/>
      <w:r w:rsidRPr="00E3220A">
        <w:rPr>
          <w:snapToGrid w:val="0"/>
        </w:rPr>
        <w:t xml:space="preserve"> </w:t>
      </w:r>
      <w:proofErr w:type="spellStart"/>
      <w:r w:rsidRPr="00E3220A">
        <w:rPr>
          <w:snapToGrid w:val="0"/>
        </w:rPr>
        <w:t>Aeruginosa</w:t>
      </w:r>
      <w:proofErr w:type="spellEnd"/>
      <w:r w:rsidRPr="00E3220A">
        <w:rPr>
          <w:snapToGrid w:val="0"/>
        </w:rPr>
        <w:t xml:space="preserve"> en pacientes con fibrosis quística.  </w:t>
      </w:r>
    </w:p>
    <w:p w:rsidR="00AF4136" w:rsidRPr="00E3220A" w:rsidRDefault="00AF4136" w:rsidP="00396EBC">
      <w:pPr>
        <w:numPr>
          <w:ilvl w:val="0"/>
          <w:numId w:val="50"/>
        </w:numPr>
        <w:spacing w:after="0" w:line="240" w:lineRule="auto"/>
        <w:jc w:val="both"/>
        <w:rPr>
          <w:snapToGrid w:val="0"/>
        </w:rPr>
      </w:pPr>
      <w:r w:rsidRPr="00E3220A">
        <w:rPr>
          <w:snapToGrid w:val="0"/>
        </w:rPr>
        <w:t xml:space="preserve">Bronconeumonía y neumonía lobar por gérmenes </w:t>
      </w:r>
      <w:proofErr w:type="spellStart"/>
      <w:r w:rsidRPr="00E3220A">
        <w:rPr>
          <w:snapToGrid w:val="0"/>
        </w:rPr>
        <w:t>gram</w:t>
      </w:r>
      <w:proofErr w:type="spellEnd"/>
      <w:r w:rsidRPr="00E3220A">
        <w:rPr>
          <w:snapToGrid w:val="0"/>
        </w:rPr>
        <w:t xml:space="preserve"> negativos. </w:t>
      </w:r>
    </w:p>
    <w:p w:rsidR="00AF4136" w:rsidRPr="00E3220A" w:rsidRDefault="00AF4136" w:rsidP="00396EBC">
      <w:pPr>
        <w:numPr>
          <w:ilvl w:val="0"/>
          <w:numId w:val="50"/>
        </w:numPr>
        <w:spacing w:after="0" w:line="240" w:lineRule="auto"/>
        <w:jc w:val="both"/>
        <w:rPr>
          <w:snapToGrid w:val="0"/>
        </w:rPr>
      </w:pPr>
      <w:proofErr w:type="spellStart"/>
      <w:r w:rsidRPr="00E3220A">
        <w:rPr>
          <w:snapToGrid w:val="0"/>
        </w:rPr>
        <w:t>Pielonefritis</w:t>
      </w:r>
      <w:proofErr w:type="spellEnd"/>
      <w:r w:rsidRPr="00E3220A">
        <w:rPr>
          <w:snapToGrid w:val="0"/>
        </w:rPr>
        <w:t xml:space="preserve"> aguda, excepto en embarazadas. </w:t>
      </w:r>
    </w:p>
    <w:p w:rsidR="00AF4136" w:rsidRPr="00E3220A" w:rsidRDefault="00AF4136" w:rsidP="00396EBC">
      <w:pPr>
        <w:numPr>
          <w:ilvl w:val="0"/>
          <w:numId w:val="50"/>
        </w:numPr>
        <w:spacing w:after="0" w:line="240" w:lineRule="auto"/>
        <w:jc w:val="both"/>
        <w:rPr>
          <w:snapToGrid w:val="0"/>
        </w:rPr>
      </w:pPr>
      <w:r w:rsidRPr="00E3220A">
        <w:rPr>
          <w:snapToGrid w:val="0"/>
        </w:rPr>
        <w:t xml:space="preserve">Prostatitis bacteriana crónica. </w:t>
      </w:r>
    </w:p>
    <w:p w:rsidR="00AF4136" w:rsidRPr="00E3220A" w:rsidRDefault="00AF4136" w:rsidP="00396EBC">
      <w:pPr>
        <w:numPr>
          <w:ilvl w:val="0"/>
          <w:numId w:val="50"/>
        </w:numPr>
        <w:spacing w:after="0" w:line="240" w:lineRule="auto"/>
        <w:jc w:val="both"/>
        <w:rPr>
          <w:snapToGrid w:val="0"/>
        </w:rPr>
      </w:pPr>
      <w:r w:rsidRPr="00E3220A">
        <w:rPr>
          <w:snapToGrid w:val="0"/>
        </w:rPr>
        <w:t xml:space="preserve">Osteomielitis por bacterias </w:t>
      </w:r>
      <w:proofErr w:type="spellStart"/>
      <w:r w:rsidRPr="00E3220A">
        <w:rPr>
          <w:snapToGrid w:val="0"/>
        </w:rPr>
        <w:t>gram</w:t>
      </w:r>
      <w:proofErr w:type="spellEnd"/>
      <w:r w:rsidRPr="00E3220A">
        <w:rPr>
          <w:snapToGrid w:val="0"/>
        </w:rPr>
        <w:t xml:space="preserve"> negativas. </w:t>
      </w:r>
    </w:p>
    <w:p w:rsidR="00AF4136" w:rsidRPr="00E3220A" w:rsidRDefault="00AF4136" w:rsidP="00396EBC">
      <w:pPr>
        <w:numPr>
          <w:ilvl w:val="0"/>
          <w:numId w:val="50"/>
        </w:numPr>
        <w:spacing w:after="0" w:line="240" w:lineRule="auto"/>
        <w:jc w:val="both"/>
        <w:rPr>
          <w:snapToGrid w:val="0"/>
        </w:rPr>
      </w:pPr>
      <w:r w:rsidRPr="00E3220A">
        <w:rPr>
          <w:snapToGrid w:val="0"/>
        </w:rPr>
        <w:t>Uretritis y epididimitis</w:t>
      </w:r>
    </w:p>
    <w:p w:rsidR="00AF4136" w:rsidRPr="00E3220A" w:rsidRDefault="00AF4136" w:rsidP="00396EBC">
      <w:pPr>
        <w:numPr>
          <w:ilvl w:val="0"/>
          <w:numId w:val="50"/>
        </w:numPr>
        <w:spacing w:after="0" w:line="240" w:lineRule="auto"/>
        <w:jc w:val="both"/>
        <w:rPr>
          <w:snapToGrid w:val="0"/>
        </w:rPr>
      </w:pPr>
      <w:r w:rsidRPr="00E3220A">
        <w:rPr>
          <w:snapToGrid w:val="0"/>
        </w:rPr>
        <w:t>Endometritis y enfermedad inflamatoria pelviana</w:t>
      </w:r>
    </w:p>
    <w:p w:rsidR="00AF4136" w:rsidRPr="00E3220A" w:rsidRDefault="00AF4136" w:rsidP="00396EBC">
      <w:pPr>
        <w:numPr>
          <w:ilvl w:val="0"/>
          <w:numId w:val="50"/>
        </w:numPr>
        <w:spacing w:after="0" w:line="240" w:lineRule="auto"/>
        <w:jc w:val="both"/>
        <w:rPr>
          <w:snapToGrid w:val="0"/>
        </w:rPr>
      </w:pPr>
      <w:r w:rsidRPr="00E3220A">
        <w:rPr>
          <w:snapToGrid w:val="0"/>
        </w:rPr>
        <w:t>ITU recurrente o refractaria según rescate y sensibilidad.</w:t>
      </w:r>
    </w:p>
    <w:p w:rsidR="00AF4136" w:rsidRPr="00E3220A" w:rsidRDefault="00AF4136" w:rsidP="00396EBC">
      <w:pPr>
        <w:numPr>
          <w:ilvl w:val="0"/>
          <w:numId w:val="50"/>
        </w:numPr>
        <w:spacing w:after="0" w:line="240" w:lineRule="auto"/>
        <w:jc w:val="both"/>
        <w:rPr>
          <w:snapToGrid w:val="0"/>
        </w:rPr>
      </w:pPr>
      <w:r w:rsidRPr="00E3220A">
        <w:rPr>
          <w:snapToGrid w:val="0"/>
        </w:rPr>
        <w:t>Otitis externa aguda maligna (prescripción por otorrinolaringólogo).</w:t>
      </w:r>
    </w:p>
    <w:p w:rsidR="00AF4136" w:rsidRPr="00E3220A" w:rsidRDefault="00AF4136" w:rsidP="00AF4136">
      <w:pPr>
        <w:tabs>
          <w:tab w:val="num" w:pos="720"/>
        </w:tabs>
        <w:ind w:left="720" w:hanging="360"/>
        <w:jc w:val="both"/>
        <w:rPr>
          <w:snapToGrid w:val="0"/>
        </w:rPr>
      </w:pPr>
      <w:r w:rsidRPr="00E3220A">
        <w:rPr>
          <w:snapToGrid w:val="0"/>
          <w:u w:val="single"/>
        </w:rPr>
        <w:t>Dosis:</w:t>
      </w:r>
      <w:r w:rsidRPr="00E3220A">
        <w:rPr>
          <w:snapToGrid w:val="0"/>
        </w:rPr>
        <w:t xml:space="preserve"> 500-750 mg cada 12 horas por vía oral.</w:t>
      </w:r>
    </w:p>
    <w:p w:rsidR="00AF4136" w:rsidRPr="00E3220A" w:rsidRDefault="00AF4136" w:rsidP="00396EBC">
      <w:pPr>
        <w:numPr>
          <w:ilvl w:val="0"/>
          <w:numId w:val="51"/>
        </w:numPr>
        <w:spacing w:after="0" w:line="240" w:lineRule="auto"/>
        <w:jc w:val="both"/>
        <w:rPr>
          <w:snapToGrid w:val="0"/>
        </w:rPr>
      </w:pPr>
      <w:r w:rsidRPr="00E3220A">
        <w:rPr>
          <w:snapToGrid w:val="0"/>
        </w:rPr>
        <w:t xml:space="preserve">Exacerbación bronquial aguda en pacientes con fibrosis quística o bronquiectasias con aislamiento previo de </w:t>
      </w:r>
      <w:proofErr w:type="spellStart"/>
      <w:r w:rsidRPr="00E3220A">
        <w:rPr>
          <w:snapToGrid w:val="0"/>
        </w:rPr>
        <w:t>pseudomona</w:t>
      </w:r>
      <w:proofErr w:type="spellEnd"/>
      <w:r w:rsidRPr="00E3220A">
        <w:rPr>
          <w:snapToGrid w:val="0"/>
        </w:rPr>
        <w:t xml:space="preserve"> </w:t>
      </w:r>
      <w:proofErr w:type="spellStart"/>
      <w:r w:rsidRPr="00E3220A">
        <w:rPr>
          <w:snapToGrid w:val="0"/>
        </w:rPr>
        <w:t>aureginosa</w:t>
      </w:r>
      <w:proofErr w:type="spellEnd"/>
      <w:r w:rsidRPr="00E3220A">
        <w:rPr>
          <w:snapToGrid w:val="0"/>
        </w:rPr>
        <w:t xml:space="preserve">; </w:t>
      </w:r>
    </w:p>
    <w:p w:rsidR="00AF4136" w:rsidRPr="00E3220A" w:rsidRDefault="00AF4136" w:rsidP="00AF4136">
      <w:pPr>
        <w:tabs>
          <w:tab w:val="num" w:pos="720"/>
        </w:tabs>
        <w:ind w:left="720" w:hanging="360"/>
        <w:jc w:val="both"/>
        <w:rPr>
          <w:snapToGrid w:val="0"/>
        </w:rPr>
      </w:pPr>
      <w:r w:rsidRPr="00E3220A">
        <w:rPr>
          <w:snapToGrid w:val="0"/>
          <w:u w:val="single"/>
        </w:rPr>
        <w:t>Dosis:</w:t>
      </w:r>
      <w:r w:rsidRPr="00E3220A">
        <w:rPr>
          <w:snapToGrid w:val="0"/>
        </w:rPr>
        <w:t xml:space="preserve"> 500-750 mg cada 12 horas por vía oral.</w:t>
      </w:r>
    </w:p>
    <w:p w:rsidR="00AF4136" w:rsidRPr="00E3220A" w:rsidRDefault="00AF4136" w:rsidP="00396EBC">
      <w:pPr>
        <w:numPr>
          <w:ilvl w:val="0"/>
          <w:numId w:val="51"/>
        </w:numPr>
        <w:spacing w:after="0" w:line="240" w:lineRule="auto"/>
        <w:jc w:val="both"/>
        <w:rPr>
          <w:snapToGrid w:val="0"/>
        </w:rPr>
      </w:pPr>
      <w:r w:rsidRPr="00E3220A">
        <w:rPr>
          <w:snapToGrid w:val="0"/>
        </w:rPr>
        <w:t xml:space="preserve">Quimioprofilaxis de convivientes y contactos cercanos de N. </w:t>
      </w:r>
      <w:proofErr w:type="spellStart"/>
      <w:r w:rsidRPr="00E3220A">
        <w:rPr>
          <w:snapToGrid w:val="0"/>
        </w:rPr>
        <w:t>Meningitidis</w:t>
      </w:r>
      <w:proofErr w:type="spellEnd"/>
      <w:r w:rsidRPr="00E3220A">
        <w:rPr>
          <w:snapToGrid w:val="0"/>
        </w:rPr>
        <w:t xml:space="preserve"> en una </w:t>
      </w:r>
      <w:proofErr w:type="spellStart"/>
      <w:r w:rsidRPr="00E3220A">
        <w:rPr>
          <w:snapToGrid w:val="0"/>
        </w:rPr>
        <w:t>monodosis</w:t>
      </w:r>
      <w:proofErr w:type="spellEnd"/>
      <w:r w:rsidRPr="00E3220A">
        <w:rPr>
          <w:snapToGrid w:val="0"/>
        </w:rPr>
        <w:t xml:space="preserve"> (750mg).</w:t>
      </w:r>
    </w:p>
    <w:p w:rsidR="00AF4136" w:rsidRPr="00E3220A" w:rsidRDefault="00AF4136" w:rsidP="00396EBC">
      <w:pPr>
        <w:numPr>
          <w:ilvl w:val="0"/>
          <w:numId w:val="51"/>
        </w:numPr>
        <w:spacing w:after="0" w:line="240" w:lineRule="auto"/>
        <w:jc w:val="both"/>
        <w:rPr>
          <w:snapToGrid w:val="0"/>
        </w:rPr>
      </w:pPr>
      <w:r w:rsidRPr="00E3220A">
        <w:rPr>
          <w:snapToGrid w:val="0"/>
        </w:rPr>
        <w:t xml:space="preserve">Tratamiento alternativo de la gonorrea en </w:t>
      </w:r>
      <w:proofErr w:type="spellStart"/>
      <w:r w:rsidRPr="00E3220A">
        <w:rPr>
          <w:snapToGrid w:val="0"/>
        </w:rPr>
        <w:t>monodosis</w:t>
      </w:r>
      <w:proofErr w:type="spellEnd"/>
      <w:r w:rsidRPr="00E3220A">
        <w:rPr>
          <w:snapToGrid w:val="0"/>
        </w:rPr>
        <w:t xml:space="preserve"> de 250 mg. </w:t>
      </w:r>
    </w:p>
    <w:p w:rsidR="00AF4136" w:rsidRPr="00E3220A" w:rsidRDefault="00AF4136" w:rsidP="00AF4136">
      <w:pPr>
        <w:tabs>
          <w:tab w:val="num" w:pos="720"/>
        </w:tabs>
        <w:ind w:left="720" w:hanging="360"/>
        <w:jc w:val="both"/>
        <w:rPr>
          <w:snapToGrid w:val="0"/>
        </w:rPr>
      </w:pPr>
      <w:r w:rsidRPr="00E3220A">
        <w:rPr>
          <w:snapToGrid w:val="0"/>
          <w:u w:val="single"/>
        </w:rPr>
        <w:t>Nota 1</w:t>
      </w:r>
      <w:r w:rsidRPr="00E3220A">
        <w:rPr>
          <w:snapToGrid w:val="0"/>
        </w:rPr>
        <w:t xml:space="preserve">: No se recomienda el uso de </w:t>
      </w:r>
      <w:proofErr w:type="spellStart"/>
      <w:r w:rsidRPr="00E3220A">
        <w:rPr>
          <w:snapToGrid w:val="0"/>
        </w:rPr>
        <w:t>ciprofloxacina</w:t>
      </w:r>
      <w:proofErr w:type="spellEnd"/>
      <w:r w:rsidRPr="00E3220A">
        <w:rPr>
          <w:snapToGrid w:val="0"/>
        </w:rPr>
        <w:t xml:space="preserve"> en infecciones por </w:t>
      </w:r>
      <w:proofErr w:type="spellStart"/>
      <w:r w:rsidRPr="00E3220A">
        <w:rPr>
          <w:snapToGrid w:val="0"/>
        </w:rPr>
        <w:t>enterococo</w:t>
      </w:r>
      <w:proofErr w:type="spellEnd"/>
      <w:r w:rsidRPr="00E3220A">
        <w:rPr>
          <w:snapToGrid w:val="0"/>
        </w:rPr>
        <w:t xml:space="preserve">, neumococo, otros estreptococos y </w:t>
      </w:r>
      <w:proofErr w:type="spellStart"/>
      <w:r w:rsidRPr="00E3220A">
        <w:rPr>
          <w:snapToGrid w:val="0"/>
        </w:rPr>
        <w:t>clamydias</w:t>
      </w:r>
      <w:proofErr w:type="spellEnd"/>
      <w:r w:rsidRPr="00E3220A">
        <w:rPr>
          <w:snapToGrid w:val="0"/>
        </w:rPr>
        <w:t xml:space="preserve">, </w:t>
      </w:r>
      <w:proofErr w:type="spellStart"/>
      <w:r w:rsidRPr="00E3220A">
        <w:rPr>
          <w:snapToGrid w:val="0"/>
        </w:rPr>
        <w:t>aún</w:t>
      </w:r>
      <w:proofErr w:type="spellEnd"/>
      <w:r w:rsidRPr="00E3220A">
        <w:rPr>
          <w:snapToGrid w:val="0"/>
        </w:rPr>
        <w:t xml:space="preserve"> cuando el antibiograma  documente sensibilidad. </w:t>
      </w:r>
    </w:p>
    <w:p w:rsidR="00AF4136" w:rsidRPr="00E3220A" w:rsidRDefault="00AF4136" w:rsidP="00AF4136">
      <w:pPr>
        <w:tabs>
          <w:tab w:val="num" w:pos="720"/>
        </w:tabs>
        <w:ind w:left="720" w:hanging="360"/>
        <w:jc w:val="both"/>
        <w:rPr>
          <w:snapToGrid w:val="0"/>
        </w:rPr>
      </w:pPr>
      <w:r w:rsidRPr="00E3220A">
        <w:rPr>
          <w:snapToGrid w:val="0"/>
          <w:u w:val="single"/>
        </w:rPr>
        <w:t>Nota 2:</w:t>
      </w:r>
      <w:r w:rsidRPr="00E3220A">
        <w:rPr>
          <w:snapToGrid w:val="0"/>
        </w:rPr>
        <w:t xml:space="preserve"> No se recomienda la utilización de </w:t>
      </w:r>
      <w:proofErr w:type="spellStart"/>
      <w:r w:rsidRPr="00E3220A">
        <w:rPr>
          <w:snapToGrid w:val="0"/>
        </w:rPr>
        <w:t>ciprofloxacina</w:t>
      </w:r>
      <w:proofErr w:type="spellEnd"/>
      <w:r w:rsidRPr="00E3220A">
        <w:rPr>
          <w:snapToGrid w:val="0"/>
        </w:rPr>
        <w:t xml:space="preserve"> en menores de 18 años (excepto la fibrosis quística sin otros ATM como opción y profilaxis y tratamiento del carbunco) y se debe evitar en las embarazadas.</w:t>
      </w:r>
    </w:p>
    <w:p w:rsidR="00AF4136" w:rsidRPr="00E3220A" w:rsidRDefault="00AF4136" w:rsidP="00AF4136">
      <w:pPr>
        <w:tabs>
          <w:tab w:val="left" w:pos="1320"/>
        </w:tabs>
        <w:ind w:left="113"/>
        <w:rPr>
          <w:rFonts w:cs="Arial"/>
        </w:rPr>
      </w:pPr>
    </w:p>
    <w:tbl>
      <w:tblPr>
        <w:tblW w:w="9173" w:type="dxa"/>
        <w:tblCellMar>
          <w:left w:w="70" w:type="dxa"/>
          <w:right w:w="70" w:type="dxa"/>
        </w:tblCellMar>
        <w:tblLook w:val="04A0" w:firstRow="1" w:lastRow="0" w:firstColumn="1" w:lastColumn="0" w:noHBand="0" w:noVBand="1"/>
      </w:tblPr>
      <w:tblGrid>
        <w:gridCol w:w="1106"/>
        <w:gridCol w:w="8067"/>
      </w:tblGrid>
      <w:tr w:rsidR="00E3220A" w:rsidRPr="000857B4" w:rsidTr="00C4645B">
        <w:trPr>
          <w:trHeight w:val="300"/>
        </w:trPr>
        <w:tc>
          <w:tcPr>
            <w:tcW w:w="1106" w:type="dxa"/>
            <w:tcBorders>
              <w:top w:val="nil"/>
              <w:left w:val="nil"/>
              <w:bottom w:val="nil"/>
              <w:right w:val="nil"/>
            </w:tcBorders>
            <w:shd w:val="clear" w:color="auto" w:fill="auto"/>
            <w:noWrap/>
            <w:vAlign w:val="bottom"/>
            <w:hideMark/>
          </w:tcPr>
          <w:p w:rsidR="00E3220A" w:rsidRPr="000857B4" w:rsidRDefault="00E3220A" w:rsidP="00C4645B">
            <w:pPr>
              <w:spacing w:after="0" w:line="240" w:lineRule="auto"/>
              <w:rPr>
                <w:b/>
                <w:i/>
                <w:color w:val="00B050"/>
              </w:rPr>
            </w:pPr>
            <w:r w:rsidRPr="000857B4">
              <w:rPr>
                <w:b/>
                <w:i/>
                <w:color w:val="00B050"/>
              </w:rPr>
              <w:t>J01XA02.A</w:t>
            </w:r>
          </w:p>
        </w:tc>
        <w:tc>
          <w:tcPr>
            <w:tcW w:w="8067" w:type="dxa"/>
            <w:tcBorders>
              <w:top w:val="nil"/>
              <w:left w:val="nil"/>
              <w:bottom w:val="nil"/>
              <w:right w:val="nil"/>
            </w:tcBorders>
            <w:shd w:val="clear" w:color="auto" w:fill="auto"/>
            <w:noWrap/>
            <w:vAlign w:val="center"/>
            <w:hideMark/>
          </w:tcPr>
          <w:p w:rsidR="00E3220A" w:rsidRPr="000857B4" w:rsidRDefault="00E3220A" w:rsidP="00C4645B">
            <w:pPr>
              <w:spacing w:after="0" w:line="240" w:lineRule="auto"/>
              <w:rPr>
                <w:b/>
                <w:i/>
                <w:color w:val="00B050"/>
              </w:rPr>
            </w:pPr>
            <w:r w:rsidRPr="000857B4">
              <w:rPr>
                <w:b/>
                <w:i/>
                <w:color w:val="00B050"/>
              </w:rPr>
              <w:t xml:space="preserve">TEICOPLANINA </w:t>
            </w:r>
          </w:p>
        </w:tc>
      </w:tr>
    </w:tbl>
    <w:p w:rsidR="00E3220A" w:rsidRPr="000857B4" w:rsidRDefault="00E3220A" w:rsidP="00E3220A">
      <w:pPr>
        <w:pStyle w:val="Prrafodelista"/>
        <w:numPr>
          <w:ilvl w:val="0"/>
          <w:numId w:val="1"/>
        </w:numPr>
        <w:jc w:val="both"/>
        <w:rPr>
          <w:b/>
          <w:i/>
        </w:rPr>
      </w:pPr>
      <w:r w:rsidRPr="000857B4">
        <w:t xml:space="preserve">Tratamiento de pacientes externados que iniciaron </w:t>
      </w:r>
      <w:proofErr w:type="spellStart"/>
      <w:r w:rsidRPr="000857B4">
        <w:t>teicoplanina</w:t>
      </w:r>
      <w:proofErr w:type="spellEnd"/>
      <w:r w:rsidRPr="000857B4">
        <w:t xml:space="preserve"> y/</w:t>
      </w:r>
      <w:proofErr w:type="spellStart"/>
      <w:r w:rsidRPr="000857B4">
        <w:t>o</w:t>
      </w:r>
      <w:proofErr w:type="spellEnd"/>
      <w:r w:rsidRPr="000857B4">
        <w:t xml:space="preserve"> otros ATM frente a los cuales se presenta como opción para la continuidad de TTO iniciada frente: a) infecciones complicadas de la piel y tejidos blandos b) infecciones de los huesos y articulaciones c) neumonía adquirida hospitalaria d) neumonía adquirida en la comunidad e) infecciones complicadas del tracto urinario f) endocarditis infecciosa g) peritonitis asociada a diálisis peritoneal continua ambulatoria (DPCA) h) bacteriemia que ocurre en asociación con cualquiera de las indicaciones arriba indicadas.</w:t>
      </w:r>
    </w:p>
    <w:p w:rsidR="00E3220A" w:rsidRPr="000857B4" w:rsidRDefault="00E3220A" w:rsidP="00E3220A">
      <w:pPr>
        <w:pStyle w:val="Prrafodelista"/>
        <w:numPr>
          <w:ilvl w:val="0"/>
          <w:numId w:val="1"/>
        </w:numPr>
        <w:jc w:val="both"/>
        <w:rPr>
          <w:b/>
          <w:i/>
        </w:rPr>
      </w:pPr>
      <w:r w:rsidRPr="000857B4">
        <w:t xml:space="preserve">Tratamiento de pacientes ambulatorios, para infecciones documentadas donde la </w:t>
      </w:r>
      <w:proofErr w:type="spellStart"/>
      <w:r w:rsidRPr="000857B4">
        <w:t>teicoplanina</w:t>
      </w:r>
      <w:proofErr w:type="spellEnd"/>
      <w:r w:rsidRPr="000857B4">
        <w:t xml:space="preserve"> resulte electiva. </w:t>
      </w:r>
    </w:p>
    <w:p w:rsidR="00AF4136" w:rsidRPr="00E3220A" w:rsidRDefault="00E3220A" w:rsidP="00E3220A">
      <w:pPr>
        <w:tabs>
          <w:tab w:val="left" w:pos="1320"/>
        </w:tabs>
        <w:ind w:left="113"/>
        <w:rPr>
          <w:rFonts w:cs="Arial"/>
        </w:rPr>
      </w:pPr>
      <w:r w:rsidRPr="000857B4">
        <w:rPr>
          <w:u w:val="single"/>
        </w:rPr>
        <w:lastRenderedPageBreak/>
        <w:t xml:space="preserve">Dosis: </w:t>
      </w:r>
      <w:r w:rsidRPr="000857B4">
        <w:t>6-12 mg/kg</w:t>
      </w:r>
      <w:r w:rsidRPr="000857B4">
        <w:rPr>
          <w:u w:val="single"/>
        </w:rPr>
        <w:t xml:space="preserve"> </w:t>
      </w:r>
      <w:r w:rsidRPr="000857B4">
        <w:t>en administración IM/EV cada 12 horas. Duración de tratamiento según situación.</w:t>
      </w:r>
    </w:p>
    <w:p w:rsidR="00AF4136" w:rsidRPr="00E3220A" w:rsidRDefault="00AF4136" w:rsidP="00AF4136">
      <w:pPr>
        <w:tabs>
          <w:tab w:val="left" w:pos="1320"/>
        </w:tabs>
        <w:ind w:left="113"/>
        <w:rPr>
          <w:rFonts w:cs="Arial"/>
          <w:b/>
          <w:i/>
          <w:color w:val="00B050"/>
        </w:rPr>
      </w:pPr>
      <w:r w:rsidRPr="00E3220A">
        <w:rPr>
          <w:rFonts w:cs="Arial"/>
          <w:b/>
          <w:i/>
          <w:color w:val="00B050"/>
        </w:rPr>
        <w:t>J02AC</w:t>
      </w:r>
      <w:r w:rsidRPr="00E3220A">
        <w:rPr>
          <w:rFonts w:cs="Arial"/>
          <w:b/>
          <w:i/>
          <w:color w:val="00B050"/>
        </w:rPr>
        <w:tab/>
        <w:t>DERIVADOS TRIAZOLINICOS</w:t>
      </w:r>
    </w:p>
    <w:p w:rsidR="00AF4136" w:rsidRPr="00E3220A" w:rsidRDefault="00AF4136" w:rsidP="00AF4136">
      <w:pPr>
        <w:tabs>
          <w:tab w:val="left" w:pos="1320"/>
        </w:tabs>
        <w:ind w:left="113"/>
        <w:rPr>
          <w:rFonts w:cs="Arial"/>
          <w:b/>
          <w:i/>
          <w:color w:val="00B050"/>
        </w:rPr>
      </w:pPr>
      <w:r w:rsidRPr="00E3220A">
        <w:rPr>
          <w:rFonts w:cs="Arial"/>
          <w:b/>
          <w:i/>
          <w:color w:val="00B050"/>
        </w:rPr>
        <w:t>J02AC01</w:t>
      </w:r>
      <w:r w:rsidRPr="00E3220A">
        <w:rPr>
          <w:rFonts w:cs="Arial"/>
          <w:b/>
          <w:i/>
          <w:color w:val="00B050"/>
        </w:rPr>
        <w:tab/>
        <w:t xml:space="preserve">FLUCONAZOL </w:t>
      </w:r>
    </w:p>
    <w:p w:rsidR="00AF4136" w:rsidRPr="00E3220A" w:rsidRDefault="00AF4136" w:rsidP="00396EBC">
      <w:pPr>
        <w:numPr>
          <w:ilvl w:val="0"/>
          <w:numId w:val="52"/>
        </w:numPr>
        <w:spacing w:after="0" w:line="240" w:lineRule="auto"/>
        <w:jc w:val="both"/>
        <w:rPr>
          <w:snapToGrid w:val="0"/>
        </w:rPr>
      </w:pPr>
      <w:r w:rsidRPr="00E3220A">
        <w:rPr>
          <w:snapToGrid w:val="0"/>
        </w:rPr>
        <w:t xml:space="preserve">Candidiasis </w:t>
      </w:r>
      <w:proofErr w:type="spellStart"/>
      <w:r w:rsidRPr="00E3220A">
        <w:rPr>
          <w:snapToGrid w:val="0"/>
        </w:rPr>
        <w:t>vulvovaginal</w:t>
      </w:r>
      <w:proofErr w:type="spellEnd"/>
      <w:r w:rsidRPr="00E3220A">
        <w:rPr>
          <w:snapToGrid w:val="0"/>
        </w:rPr>
        <w:t xml:space="preserve"> </w:t>
      </w:r>
      <w:proofErr w:type="spellStart"/>
      <w:r w:rsidRPr="00E3220A">
        <w:rPr>
          <w:snapToGrid w:val="0"/>
        </w:rPr>
        <w:t>pretratada</w:t>
      </w:r>
      <w:proofErr w:type="spellEnd"/>
      <w:r w:rsidRPr="00E3220A">
        <w:rPr>
          <w:snapToGrid w:val="0"/>
        </w:rPr>
        <w:t xml:space="preserve"> y refractaria a </w:t>
      </w:r>
      <w:proofErr w:type="spellStart"/>
      <w:r w:rsidRPr="00E3220A">
        <w:rPr>
          <w:snapToGrid w:val="0"/>
        </w:rPr>
        <w:t>clotrimazol</w:t>
      </w:r>
      <w:proofErr w:type="spellEnd"/>
      <w:r w:rsidRPr="00E3220A">
        <w:rPr>
          <w:snapToGrid w:val="0"/>
        </w:rPr>
        <w:t xml:space="preserve"> por vía </w:t>
      </w:r>
      <w:proofErr w:type="spellStart"/>
      <w:r w:rsidRPr="00E3220A">
        <w:rPr>
          <w:snapToGrid w:val="0"/>
        </w:rPr>
        <w:t>intravaginal</w:t>
      </w:r>
      <w:proofErr w:type="spellEnd"/>
      <w:r w:rsidRPr="00E3220A">
        <w:rPr>
          <w:snapToGrid w:val="0"/>
        </w:rPr>
        <w:t xml:space="preserve"> durante 3 días; y candidiasis </w:t>
      </w:r>
      <w:proofErr w:type="spellStart"/>
      <w:r w:rsidRPr="00E3220A">
        <w:rPr>
          <w:snapToGrid w:val="0"/>
        </w:rPr>
        <w:t>vulvovaginal</w:t>
      </w:r>
      <w:proofErr w:type="spellEnd"/>
      <w:r w:rsidRPr="00E3220A">
        <w:rPr>
          <w:snapToGrid w:val="0"/>
        </w:rPr>
        <w:t xml:space="preserve">  recurrente en pacientes con patologías de base  que cursan  con  inmunodepresión. Dosis única de 150 mg.</w:t>
      </w:r>
    </w:p>
    <w:p w:rsidR="00AF4136" w:rsidRPr="00E3220A" w:rsidRDefault="00AF4136" w:rsidP="00396EBC">
      <w:pPr>
        <w:numPr>
          <w:ilvl w:val="0"/>
          <w:numId w:val="52"/>
        </w:numPr>
        <w:spacing w:after="0" w:line="240" w:lineRule="auto"/>
        <w:jc w:val="both"/>
        <w:rPr>
          <w:snapToGrid w:val="0"/>
        </w:rPr>
      </w:pPr>
      <w:r w:rsidRPr="00E3220A">
        <w:rPr>
          <w:snapToGrid w:val="0"/>
        </w:rPr>
        <w:t xml:space="preserve">Candidiasis </w:t>
      </w:r>
      <w:proofErr w:type="spellStart"/>
      <w:r w:rsidRPr="00E3220A">
        <w:rPr>
          <w:snapToGrid w:val="0"/>
        </w:rPr>
        <w:t>vulvovaginal</w:t>
      </w:r>
      <w:proofErr w:type="spellEnd"/>
      <w:r w:rsidRPr="00E3220A">
        <w:rPr>
          <w:snapToGrid w:val="0"/>
        </w:rPr>
        <w:t xml:space="preserve"> como primera opción cuando se instituyan  pautas terapéuticas, donde la relación beneficio-costo resulte adecuada. Dosis única de 150 mg.</w:t>
      </w:r>
    </w:p>
    <w:p w:rsidR="00AF4136" w:rsidRPr="00E3220A" w:rsidRDefault="00AF4136" w:rsidP="00396EBC">
      <w:pPr>
        <w:numPr>
          <w:ilvl w:val="0"/>
          <w:numId w:val="52"/>
        </w:numPr>
        <w:spacing w:after="0" w:line="240" w:lineRule="auto"/>
        <w:jc w:val="both"/>
        <w:rPr>
          <w:snapToGrid w:val="0"/>
        </w:rPr>
      </w:pPr>
      <w:r w:rsidRPr="00E3220A">
        <w:rPr>
          <w:snapToGrid w:val="0"/>
        </w:rPr>
        <w:t xml:space="preserve">Candidiasis esofágica en pacientes inmunodeprimidos e </w:t>
      </w:r>
      <w:proofErr w:type="spellStart"/>
      <w:r w:rsidRPr="00E3220A">
        <w:rPr>
          <w:snapToGrid w:val="0"/>
        </w:rPr>
        <w:t>inmunocompetentes</w:t>
      </w:r>
      <w:proofErr w:type="spellEnd"/>
      <w:r w:rsidRPr="00E3220A">
        <w:rPr>
          <w:snapToGrid w:val="0"/>
        </w:rPr>
        <w:t>. Dosis: 200 mg de inicio seguidos de 100 mg /día por 3 semanas.</w:t>
      </w:r>
    </w:p>
    <w:p w:rsidR="00AF4136" w:rsidRPr="00E3220A" w:rsidRDefault="00AF4136" w:rsidP="00396EBC">
      <w:pPr>
        <w:numPr>
          <w:ilvl w:val="0"/>
          <w:numId w:val="52"/>
        </w:numPr>
        <w:spacing w:after="0" w:line="240" w:lineRule="auto"/>
        <w:jc w:val="both"/>
        <w:rPr>
          <w:snapToGrid w:val="0"/>
        </w:rPr>
      </w:pPr>
      <w:r w:rsidRPr="00E3220A">
        <w:rPr>
          <w:snapToGrid w:val="0"/>
        </w:rPr>
        <w:t xml:space="preserve">Candidiasis </w:t>
      </w:r>
      <w:proofErr w:type="spellStart"/>
      <w:r w:rsidRPr="00E3220A">
        <w:rPr>
          <w:snapToGrid w:val="0"/>
        </w:rPr>
        <w:t>orofaríngea</w:t>
      </w:r>
      <w:proofErr w:type="spellEnd"/>
      <w:r w:rsidRPr="00E3220A">
        <w:rPr>
          <w:snapToGrid w:val="0"/>
        </w:rPr>
        <w:t>. Dosis: 200 mg de inicio seguidos de 100 mg /día por 2 semanas.</w:t>
      </w:r>
    </w:p>
    <w:p w:rsidR="00AF4136" w:rsidRPr="00E3220A" w:rsidRDefault="00AF4136" w:rsidP="00AF4136">
      <w:pPr>
        <w:tabs>
          <w:tab w:val="left" w:pos="1320"/>
        </w:tabs>
        <w:ind w:left="113"/>
        <w:rPr>
          <w:rFonts w:cs="Arial"/>
        </w:rPr>
      </w:pPr>
    </w:p>
    <w:p w:rsidR="00AF4136" w:rsidRPr="00E3220A" w:rsidRDefault="00AF4136" w:rsidP="00AF4136">
      <w:pPr>
        <w:tabs>
          <w:tab w:val="left" w:pos="1320"/>
        </w:tabs>
        <w:ind w:left="113"/>
        <w:rPr>
          <w:rFonts w:cs="Arial"/>
          <w:b/>
          <w:i/>
          <w:color w:val="00B050"/>
        </w:rPr>
      </w:pPr>
      <w:r w:rsidRPr="00E3220A">
        <w:rPr>
          <w:rFonts w:cs="Arial"/>
          <w:b/>
          <w:i/>
          <w:color w:val="00B050"/>
        </w:rPr>
        <w:t>J02AC02</w:t>
      </w:r>
      <w:r w:rsidRPr="00E3220A">
        <w:rPr>
          <w:rFonts w:cs="Arial"/>
          <w:b/>
          <w:i/>
          <w:color w:val="00B050"/>
        </w:rPr>
        <w:tab/>
        <w:t xml:space="preserve">ITRACONAZOL </w:t>
      </w:r>
    </w:p>
    <w:p w:rsidR="00AF4136" w:rsidRPr="00E3220A" w:rsidRDefault="00AF4136" w:rsidP="00396EBC">
      <w:pPr>
        <w:numPr>
          <w:ilvl w:val="0"/>
          <w:numId w:val="53"/>
        </w:numPr>
        <w:spacing w:after="0" w:line="240" w:lineRule="auto"/>
        <w:jc w:val="both"/>
        <w:rPr>
          <w:snapToGrid w:val="0"/>
        </w:rPr>
      </w:pPr>
      <w:proofErr w:type="spellStart"/>
      <w:r w:rsidRPr="00E3220A">
        <w:rPr>
          <w:snapToGrid w:val="0"/>
        </w:rPr>
        <w:t>Onicomicosis</w:t>
      </w:r>
      <w:proofErr w:type="spellEnd"/>
      <w:r w:rsidRPr="00E3220A">
        <w:rPr>
          <w:snapToGrid w:val="0"/>
        </w:rPr>
        <w:t xml:space="preserve"> del </w:t>
      </w:r>
      <w:proofErr w:type="spellStart"/>
      <w:r w:rsidRPr="00E3220A">
        <w:rPr>
          <w:snapToGrid w:val="0"/>
        </w:rPr>
        <w:t>pié</w:t>
      </w:r>
      <w:proofErr w:type="spellEnd"/>
      <w:r w:rsidRPr="00E3220A">
        <w:rPr>
          <w:snapToGrid w:val="0"/>
        </w:rPr>
        <w:t xml:space="preserve"> documentada (micológico) y/o refractaria a otros antimicóticos. Dosis: 200 mg/día durante 12 semanas.</w:t>
      </w:r>
    </w:p>
    <w:p w:rsidR="00AF4136" w:rsidRPr="00E3220A" w:rsidRDefault="00AF4136" w:rsidP="00396EBC">
      <w:pPr>
        <w:numPr>
          <w:ilvl w:val="0"/>
          <w:numId w:val="53"/>
        </w:numPr>
        <w:spacing w:after="0" w:line="240" w:lineRule="auto"/>
        <w:jc w:val="both"/>
        <w:rPr>
          <w:snapToGrid w:val="0"/>
        </w:rPr>
      </w:pPr>
      <w:proofErr w:type="spellStart"/>
      <w:r w:rsidRPr="00E3220A">
        <w:rPr>
          <w:snapToGrid w:val="0"/>
        </w:rPr>
        <w:t>Onicomicosis</w:t>
      </w:r>
      <w:proofErr w:type="spellEnd"/>
      <w:r w:rsidRPr="00E3220A">
        <w:rPr>
          <w:snapToGrid w:val="0"/>
        </w:rPr>
        <w:t xml:space="preserve"> de manos documentada (micológico) y/o refractaria a otros antimicóticos. Dosis: 200 mg 2 veces al día por una semana, seguido de 3 semanas sin medicación y repetir una semana igual.</w:t>
      </w:r>
    </w:p>
    <w:p w:rsidR="00AF4136" w:rsidRDefault="00AF4136" w:rsidP="00396EBC">
      <w:pPr>
        <w:numPr>
          <w:ilvl w:val="0"/>
          <w:numId w:val="53"/>
        </w:numPr>
        <w:spacing w:after="0" w:line="240" w:lineRule="auto"/>
        <w:jc w:val="both"/>
        <w:rPr>
          <w:snapToGrid w:val="0"/>
        </w:rPr>
      </w:pPr>
      <w:r w:rsidRPr="00E3220A">
        <w:rPr>
          <w:snapToGrid w:val="0"/>
        </w:rPr>
        <w:t>Continuidad en externados y/o tratamiento de micosis prevalentes en HIV + y enfermos de SIDA. Dosis: 200-400 mg 2 veces al día y duración según cuadro clínico.</w:t>
      </w:r>
    </w:p>
    <w:p w:rsidR="00E3220A" w:rsidRPr="00E3220A" w:rsidRDefault="00E3220A" w:rsidP="00396EBC">
      <w:pPr>
        <w:numPr>
          <w:ilvl w:val="0"/>
          <w:numId w:val="53"/>
        </w:numPr>
        <w:spacing w:after="0" w:line="240" w:lineRule="auto"/>
        <w:jc w:val="both"/>
        <w:rPr>
          <w:snapToGrid w:val="0"/>
        </w:rPr>
      </w:pPr>
    </w:p>
    <w:p w:rsidR="00E3220A" w:rsidRPr="000857B4" w:rsidRDefault="00E3220A" w:rsidP="00E3220A">
      <w:pPr>
        <w:jc w:val="both"/>
        <w:rPr>
          <w:lang w:val="pt-BR"/>
        </w:rPr>
      </w:pPr>
      <w:r w:rsidRPr="000857B4">
        <w:rPr>
          <w:b/>
          <w:i/>
          <w:color w:val="00B050"/>
          <w:lang w:val="pt-BR"/>
        </w:rPr>
        <w:t>J04AB02 RIFAMPICINA</w:t>
      </w:r>
    </w:p>
    <w:p w:rsidR="00E3220A" w:rsidRPr="000857B4" w:rsidRDefault="00E3220A" w:rsidP="00E3220A">
      <w:pPr>
        <w:jc w:val="both"/>
        <w:rPr>
          <w:b/>
          <w:i/>
          <w:color w:val="00B050"/>
          <w:lang w:val="pt-BR"/>
        </w:rPr>
      </w:pPr>
      <w:r w:rsidRPr="000857B4">
        <w:rPr>
          <w:b/>
          <w:i/>
          <w:color w:val="00B050"/>
          <w:lang w:val="pt-BR"/>
        </w:rPr>
        <w:t>J04AC01 ISONIACIDA</w:t>
      </w:r>
    </w:p>
    <w:p w:rsidR="00E3220A" w:rsidRPr="000857B4" w:rsidRDefault="00E3220A" w:rsidP="00E3220A">
      <w:pPr>
        <w:jc w:val="both"/>
        <w:rPr>
          <w:b/>
          <w:i/>
          <w:color w:val="00B050"/>
          <w:lang w:val="pt-BR"/>
        </w:rPr>
      </w:pPr>
      <w:r w:rsidRPr="000857B4">
        <w:rPr>
          <w:b/>
          <w:i/>
          <w:color w:val="00B050"/>
          <w:lang w:val="pt-BR"/>
        </w:rPr>
        <w:t>JO4AK01 PIRAZINAMIDA</w:t>
      </w:r>
    </w:p>
    <w:p w:rsidR="00E3220A" w:rsidRPr="000857B4" w:rsidRDefault="00E3220A" w:rsidP="00E3220A">
      <w:pPr>
        <w:jc w:val="both"/>
        <w:rPr>
          <w:b/>
          <w:i/>
          <w:color w:val="00B050"/>
          <w:lang w:val="pt-BR"/>
        </w:rPr>
      </w:pPr>
      <w:r w:rsidRPr="000857B4">
        <w:rPr>
          <w:b/>
          <w:i/>
          <w:color w:val="00B050"/>
          <w:lang w:val="pt-BR"/>
        </w:rPr>
        <w:t>J04AK02 ETAMBUTOL</w:t>
      </w:r>
    </w:p>
    <w:p w:rsidR="00E3220A" w:rsidRPr="006C4643" w:rsidRDefault="00E3220A" w:rsidP="00E3220A">
      <w:pPr>
        <w:jc w:val="both"/>
        <w:rPr>
          <w:b/>
          <w:i/>
          <w:color w:val="00B050"/>
          <w:lang w:val="pt-BR"/>
        </w:rPr>
      </w:pPr>
      <w:r w:rsidRPr="000857B4">
        <w:rPr>
          <w:b/>
          <w:i/>
          <w:color w:val="00B050"/>
          <w:lang w:val="pt-BR"/>
        </w:rPr>
        <w:t>J04AM02 RIFAMPICINA E ISONIACIDA</w:t>
      </w:r>
      <w:proofErr w:type="gramStart"/>
      <w:r w:rsidRPr="006C4643">
        <w:rPr>
          <w:b/>
          <w:i/>
          <w:color w:val="00B050"/>
          <w:lang w:val="pt-BR"/>
        </w:rPr>
        <w:t xml:space="preserve">  </w:t>
      </w:r>
    </w:p>
    <w:p w:rsidR="00E3220A" w:rsidRDefault="00E3220A" w:rsidP="00E3220A">
      <w:pPr>
        <w:jc w:val="both"/>
        <w:rPr>
          <w:b/>
          <w:i/>
          <w:color w:val="00B050"/>
        </w:rPr>
      </w:pPr>
      <w:proofErr w:type="gramEnd"/>
      <w:r w:rsidRPr="00CF07DC">
        <w:rPr>
          <w:b/>
          <w:i/>
          <w:color w:val="00B050"/>
        </w:rPr>
        <w:t>J04AM02</w:t>
      </w:r>
      <w:r>
        <w:rPr>
          <w:b/>
          <w:i/>
          <w:color w:val="00B050"/>
        </w:rPr>
        <w:t xml:space="preserve"> </w:t>
      </w:r>
      <w:r w:rsidRPr="006C4643">
        <w:rPr>
          <w:b/>
          <w:i/>
          <w:color w:val="00B050"/>
          <w:lang w:val="pt-BR"/>
        </w:rPr>
        <w:t>RIFAMPICINA</w:t>
      </w:r>
      <w:r w:rsidRPr="00CF07DC">
        <w:rPr>
          <w:b/>
          <w:i/>
          <w:color w:val="00B050"/>
        </w:rPr>
        <w:t xml:space="preserve">, ISONIACIDA Y PIRAZINAMIDA  </w:t>
      </w:r>
    </w:p>
    <w:p w:rsidR="00E3220A" w:rsidRDefault="00E3220A" w:rsidP="00E3220A">
      <w:pPr>
        <w:pStyle w:val="Prrafodelista"/>
        <w:numPr>
          <w:ilvl w:val="0"/>
          <w:numId w:val="6"/>
        </w:numPr>
        <w:jc w:val="both"/>
      </w:pPr>
      <w:r>
        <w:t xml:space="preserve">Tratamiento de la TBC según luce en Ministerio de Salud de la Nación según: </w:t>
      </w:r>
      <w:hyperlink r:id="rId11" w:history="1">
        <w:r w:rsidRPr="004657E3">
          <w:rPr>
            <w:rStyle w:val="Hipervnculo"/>
          </w:rPr>
          <w:t>http://www.msal.gob.ar/images/stories/bes/graficos/0000000049cnt-guia_de_diagnostico_tratamiento_y_prevencion_de_la_tuberculosis_2015.pdf</w:t>
        </w:r>
      </w:hyperlink>
      <w:r>
        <w:t xml:space="preserve"> </w:t>
      </w:r>
    </w:p>
    <w:tbl>
      <w:tblPr>
        <w:tblW w:w="9060" w:type="dxa"/>
        <w:tblCellMar>
          <w:left w:w="70" w:type="dxa"/>
          <w:right w:w="70" w:type="dxa"/>
        </w:tblCellMar>
        <w:tblLook w:val="04A0" w:firstRow="1" w:lastRow="0" w:firstColumn="1" w:lastColumn="0" w:noHBand="0" w:noVBand="1"/>
      </w:tblPr>
      <w:tblGrid>
        <w:gridCol w:w="1134"/>
        <w:gridCol w:w="7926"/>
      </w:tblGrid>
      <w:tr w:rsidR="00E3220A" w:rsidRPr="002944B2" w:rsidTr="00C4645B">
        <w:trPr>
          <w:trHeight w:val="300"/>
        </w:trPr>
        <w:tc>
          <w:tcPr>
            <w:tcW w:w="1134" w:type="dxa"/>
            <w:tcBorders>
              <w:top w:val="nil"/>
              <w:left w:val="nil"/>
              <w:bottom w:val="nil"/>
              <w:right w:val="nil"/>
            </w:tcBorders>
            <w:shd w:val="clear" w:color="auto" w:fill="auto"/>
            <w:noWrap/>
            <w:vAlign w:val="bottom"/>
            <w:hideMark/>
          </w:tcPr>
          <w:p w:rsidR="00E3220A" w:rsidRPr="000857B4" w:rsidRDefault="00E3220A" w:rsidP="00C4645B">
            <w:pPr>
              <w:jc w:val="both"/>
              <w:rPr>
                <w:b/>
                <w:i/>
                <w:color w:val="00B050"/>
              </w:rPr>
            </w:pPr>
          </w:p>
          <w:p w:rsidR="00E3220A" w:rsidRPr="000857B4" w:rsidRDefault="00E3220A" w:rsidP="00C4645B">
            <w:pPr>
              <w:jc w:val="both"/>
              <w:rPr>
                <w:b/>
                <w:i/>
                <w:color w:val="00B050"/>
              </w:rPr>
            </w:pPr>
            <w:r w:rsidRPr="000857B4">
              <w:rPr>
                <w:b/>
                <w:i/>
                <w:color w:val="00B050"/>
              </w:rPr>
              <w:t>J04BA02.A</w:t>
            </w:r>
          </w:p>
        </w:tc>
        <w:tc>
          <w:tcPr>
            <w:tcW w:w="7926" w:type="dxa"/>
            <w:tcBorders>
              <w:top w:val="nil"/>
              <w:left w:val="nil"/>
              <w:bottom w:val="nil"/>
              <w:right w:val="nil"/>
            </w:tcBorders>
            <w:shd w:val="clear" w:color="auto" w:fill="auto"/>
            <w:noWrap/>
            <w:vAlign w:val="center"/>
            <w:hideMark/>
          </w:tcPr>
          <w:p w:rsidR="00E3220A" w:rsidRPr="000857B4" w:rsidRDefault="00E3220A" w:rsidP="00C4645B">
            <w:pPr>
              <w:jc w:val="both"/>
              <w:rPr>
                <w:b/>
                <w:i/>
                <w:color w:val="00B050"/>
              </w:rPr>
            </w:pPr>
          </w:p>
          <w:p w:rsidR="00E3220A" w:rsidRPr="000857B4" w:rsidRDefault="00E3220A" w:rsidP="00C4645B">
            <w:pPr>
              <w:jc w:val="both"/>
              <w:rPr>
                <w:b/>
                <w:i/>
                <w:color w:val="00B050"/>
              </w:rPr>
            </w:pPr>
            <w:r w:rsidRPr="000857B4">
              <w:rPr>
                <w:b/>
                <w:i/>
                <w:color w:val="00B050"/>
              </w:rPr>
              <w:t xml:space="preserve">DAPSONA  </w:t>
            </w:r>
          </w:p>
        </w:tc>
      </w:tr>
    </w:tbl>
    <w:p w:rsidR="00E3220A" w:rsidRPr="0063584F" w:rsidRDefault="00E3220A" w:rsidP="00E3220A">
      <w:pPr>
        <w:pStyle w:val="Prrafodelista"/>
        <w:numPr>
          <w:ilvl w:val="0"/>
          <w:numId w:val="12"/>
        </w:numPr>
        <w:jc w:val="both"/>
      </w:pPr>
      <w:bookmarkStart w:id="10" w:name="_Hlk520042720"/>
      <w:r w:rsidRPr="002944B2">
        <w:t xml:space="preserve">Tratamiento quimioterapia de la lepra. </w:t>
      </w:r>
    </w:p>
    <w:bookmarkEnd w:id="10"/>
    <w:p w:rsidR="00E3220A" w:rsidRPr="0063584F" w:rsidRDefault="00E3220A" w:rsidP="00E3220A">
      <w:pPr>
        <w:pStyle w:val="Prrafodelista"/>
        <w:numPr>
          <w:ilvl w:val="0"/>
          <w:numId w:val="12"/>
        </w:numPr>
        <w:jc w:val="both"/>
      </w:pPr>
      <w:r w:rsidRPr="002944B2">
        <w:t xml:space="preserve">Dermatitis </w:t>
      </w:r>
      <w:proofErr w:type="spellStart"/>
      <w:r w:rsidRPr="002944B2">
        <w:t>herpetiforme</w:t>
      </w:r>
      <w:proofErr w:type="spellEnd"/>
      <w:r w:rsidRPr="002944B2">
        <w:t xml:space="preserve">. </w:t>
      </w:r>
    </w:p>
    <w:p w:rsidR="00E3220A" w:rsidRPr="0063584F" w:rsidRDefault="00E3220A" w:rsidP="00E3220A">
      <w:pPr>
        <w:pStyle w:val="Prrafodelista"/>
        <w:numPr>
          <w:ilvl w:val="0"/>
          <w:numId w:val="12"/>
        </w:numPr>
        <w:jc w:val="both"/>
      </w:pPr>
      <w:r w:rsidRPr="002944B2">
        <w:t xml:space="preserve">Infecciones </w:t>
      </w:r>
      <w:r>
        <w:t xml:space="preserve">de baja prevalencia tales como: </w:t>
      </w:r>
      <w:proofErr w:type="spellStart"/>
      <w:r w:rsidRPr="002944B2">
        <w:t>micetoma</w:t>
      </w:r>
      <w:proofErr w:type="spellEnd"/>
      <w:r w:rsidRPr="002944B2">
        <w:t xml:space="preserve"> </w:t>
      </w:r>
      <w:proofErr w:type="spellStart"/>
      <w:r w:rsidRPr="002944B2">
        <w:t>actinomicótico</w:t>
      </w:r>
      <w:proofErr w:type="spellEnd"/>
      <w:r w:rsidRPr="002944B2">
        <w:t xml:space="preserve">,  </w:t>
      </w:r>
      <w:proofErr w:type="spellStart"/>
      <w:r w:rsidRPr="002944B2">
        <w:t>penfigoide</w:t>
      </w:r>
      <w:proofErr w:type="spellEnd"/>
      <w:r w:rsidRPr="002944B2">
        <w:t xml:space="preserve"> </w:t>
      </w:r>
      <w:proofErr w:type="spellStart"/>
      <w:r w:rsidRPr="002944B2">
        <w:t>cicatrizal</w:t>
      </w:r>
      <w:proofErr w:type="spellEnd"/>
      <w:r w:rsidRPr="002944B2">
        <w:t xml:space="preserve">, dermatosis </w:t>
      </w:r>
      <w:proofErr w:type="spellStart"/>
      <w:r w:rsidRPr="002944B2">
        <w:t>pustular</w:t>
      </w:r>
      <w:proofErr w:type="spellEnd"/>
      <w:r w:rsidRPr="002944B2">
        <w:t xml:space="preserve"> </w:t>
      </w:r>
      <w:proofErr w:type="spellStart"/>
      <w:r w:rsidRPr="002944B2">
        <w:t>subcórnea</w:t>
      </w:r>
      <w:proofErr w:type="spellEnd"/>
      <w:r w:rsidRPr="002944B2">
        <w:t xml:space="preserve">, granuloma anular, ciertas lesiones cutáneas </w:t>
      </w:r>
      <w:r w:rsidRPr="002944B2">
        <w:lastRenderedPageBreak/>
        <w:t xml:space="preserve">del lupus eritematoso sistémico, </w:t>
      </w:r>
      <w:proofErr w:type="spellStart"/>
      <w:r w:rsidRPr="002944B2">
        <w:t>penfigoide</w:t>
      </w:r>
      <w:proofErr w:type="spellEnd"/>
      <w:r w:rsidRPr="002944B2">
        <w:t>,</w:t>
      </w:r>
      <w:r>
        <w:t xml:space="preserve"> </w:t>
      </w:r>
      <w:proofErr w:type="spellStart"/>
      <w:r w:rsidRPr="002944B2">
        <w:t>policondritis</w:t>
      </w:r>
      <w:proofErr w:type="spellEnd"/>
      <w:r w:rsidRPr="002944B2">
        <w:t xml:space="preserve"> recidivante y el </w:t>
      </w:r>
      <w:proofErr w:type="spellStart"/>
      <w:r w:rsidRPr="002944B2">
        <w:t>pioderma</w:t>
      </w:r>
      <w:proofErr w:type="spellEnd"/>
      <w:r w:rsidRPr="002944B2">
        <w:t xml:space="preserve"> gangrenoso.</w:t>
      </w:r>
    </w:p>
    <w:p w:rsidR="00E3220A" w:rsidRDefault="00E3220A" w:rsidP="00E3220A">
      <w:pPr>
        <w:pStyle w:val="Prrafodelista"/>
        <w:numPr>
          <w:ilvl w:val="0"/>
          <w:numId w:val="12"/>
        </w:numPr>
        <w:jc w:val="both"/>
      </w:pPr>
      <w:r w:rsidRPr="00B73450">
        <w:rPr>
          <w:u w:val="single"/>
        </w:rPr>
        <w:t>Dosis:</w:t>
      </w:r>
      <w:r w:rsidRPr="0063584F">
        <w:t xml:space="preserve"> </w:t>
      </w:r>
      <w:r>
        <w:t xml:space="preserve"> 50</w:t>
      </w:r>
      <w:r w:rsidRPr="004368CA">
        <w:t>-1</w:t>
      </w:r>
      <w:r>
        <w:t>00</w:t>
      </w:r>
      <w:r w:rsidRPr="004368CA">
        <w:t xml:space="preserve"> mg/kg</w:t>
      </w:r>
    </w:p>
    <w:p w:rsidR="00E3220A" w:rsidRDefault="00E3220A" w:rsidP="00E3220A">
      <w:pPr>
        <w:jc w:val="both"/>
        <w:rPr>
          <w:b/>
          <w:i/>
          <w:color w:val="00B050"/>
        </w:rPr>
      </w:pPr>
    </w:p>
    <w:p w:rsidR="00E3220A" w:rsidRDefault="00E3220A" w:rsidP="00E3220A">
      <w:pPr>
        <w:jc w:val="both"/>
        <w:rPr>
          <w:b/>
          <w:i/>
          <w:color w:val="00B050"/>
        </w:rPr>
      </w:pPr>
    </w:p>
    <w:p w:rsidR="00E3220A" w:rsidRDefault="00E3220A" w:rsidP="00E3220A">
      <w:pPr>
        <w:jc w:val="both"/>
        <w:rPr>
          <w:b/>
          <w:i/>
          <w:color w:val="00B050"/>
        </w:rPr>
      </w:pPr>
      <w:r w:rsidRPr="000857B4">
        <w:rPr>
          <w:b/>
          <w:i/>
          <w:color w:val="00B050"/>
        </w:rPr>
        <w:t>J05AB11.A VALACICLOVIR</w:t>
      </w:r>
      <w:r>
        <w:rPr>
          <w:b/>
          <w:i/>
          <w:color w:val="00B050"/>
        </w:rPr>
        <w:t xml:space="preserve"> </w:t>
      </w:r>
    </w:p>
    <w:p w:rsidR="00E3220A" w:rsidRPr="00535A06" w:rsidRDefault="00E3220A" w:rsidP="00E3220A">
      <w:pPr>
        <w:pStyle w:val="Prrafodelista"/>
        <w:numPr>
          <w:ilvl w:val="0"/>
          <w:numId w:val="12"/>
        </w:numPr>
        <w:jc w:val="both"/>
      </w:pPr>
      <w:r>
        <w:t>T</w:t>
      </w:r>
      <w:r w:rsidRPr="00535A06">
        <w:t xml:space="preserve">ratamiento del Herpes </w:t>
      </w:r>
      <w:r>
        <w:t>Z</w:t>
      </w:r>
      <w:r w:rsidRPr="00535A06">
        <w:t>oster</w:t>
      </w:r>
    </w:p>
    <w:p w:rsidR="00E3220A" w:rsidRPr="00535A06" w:rsidRDefault="00E3220A" w:rsidP="00E3220A">
      <w:pPr>
        <w:pStyle w:val="Prrafodelista"/>
        <w:numPr>
          <w:ilvl w:val="0"/>
          <w:numId w:val="12"/>
        </w:numPr>
        <w:jc w:val="both"/>
      </w:pPr>
      <w:r>
        <w:t>P</w:t>
      </w:r>
      <w:r w:rsidRPr="00535A06">
        <w:t xml:space="preserve">revención y tratamiento de las infecciones recurrentes por Herpes simple </w:t>
      </w:r>
    </w:p>
    <w:p w:rsidR="00E3220A" w:rsidRPr="00506D41" w:rsidRDefault="00E3220A" w:rsidP="00E3220A">
      <w:pPr>
        <w:pStyle w:val="Prrafodelista"/>
        <w:numPr>
          <w:ilvl w:val="0"/>
          <w:numId w:val="12"/>
        </w:numPr>
        <w:spacing w:after="0" w:line="240" w:lineRule="auto"/>
        <w:jc w:val="both"/>
        <w:rPr>
          <w:bCs/>
        </w:rPr>
      </w:pPr>
      <w:r w:rsidRPr="00506D41">
        <w:rPr>
          <w:u w:val="single"/>
        </w:rPr>
        <w:t>Dosis:</w:t>
      </w:r>
      <w:r>
        <w:t xml:space="preserve"> según situación clínica. </w:t>
      </w:r>
    </w:p>
    <w:p w:rsidR="00E3220A" w:rsidRPr="00506D41" w:rsidRDefault="00E3220A" w:rsidP="00E3220A">
      <w:pPr>
        <w:pStyle w:val="Prrafodelista"/>
        <w:spacing w:after="0" w:line="240" w:lineRule="auto"/>
        <w:jc w:val="both"/>
        <w:rPr>
          <w:bCs/>
        </w:rPr>
      </w:pPr>
      <w:r w:rsidRPr="00506D41">
        <w:rPr>
          <w:bCs/>
          <w:u w:val="single"/>
        </w:rPr>
        <w:t>Herpes zoster</w:t>
      </w:r>
      <w:r w:rsidRPr="00506D41">
        <w:rPr>
          <w:bCs/>
        </w:rPr>
        <w:t>:</w:t>
      </w:r>
      <w:r w:rsidRPr="00506D41">
        <w:rPr>
          <w:b/>
        </w:rPr>
        <w:t xml:space="preserve"> </w:t>
      </w:r>
      <w:r w:rsidRPr="00506D41">
        <w:rPr>
          <w:bCs/>
        </w:rPr>
        <w:t>1 g/8h durante 7 días, iniciando el tratamiento en las primeras 72 h tras la aparición de las lesiones.</w:t>
      </w:r>
    </w:p>
    <w:p w:rsidR="00E3220A" w:rsidRDefault="00E3220A" w:rsidP="00E3220A">
      <w:pPr>
        <w:spacing w:after="0" w:line="240" w:lineRule="auto"/>
        <w:ind w:left="720"/>
        <w:jc w:val="both"/>
        <w:rPr>
          <w:bCs/>
        </w:rPr>
      </w:pPr>
      <w:r w:rsidRPr="00506D41">
        <w:rPr>
          <w:bCs/>
          <w:u w:val="single"/>
        </w:rPr>
        <w:t>Herpes simple:</w:t>
      </w:r>
      <w:r>
        <w:rPr>
          <w:bCs/>
        </w:rPr>
        <w:t xml:space="preserve"> episodios iniciales, 500 mg/12 h, durante 10 días. </w:t>
      </w:r>
    </w:p>
    <w:p w:rsidR="00E3220A" w:rsidRDefault="00E3220A" w:rsidP="00E3220A">
      <w:pPr>
        <w:spacing w:after="0" w:line="240" w:lineRule="auto"/>
        <w:ind w:left="720"/>
        <w:jc w:val="both"/>
        <w:rPr>
          <w:bCs/>
        </w:rPr>
      </w:pPr>
      <w:r w:rsidRPr="00506D41">
        <w:rPr>
          <w:bCs/>
          <w:u w:val="single"/>
        </w:rPr>
        <w:t>Para episodios recurrentes,</w:t>
      </w:r>
      <w:r>
        <w:rPr>
          <w:bCs/>
        </w:rPr>
        <w:t xml:space="preserve"> 500 mg/12h, durante 5 días, comenzando el tratamiento durante el periodo pródromo o cuando aparezcan los primeros síntomas.</w:t>
      </w:r>
    </w:p>
    <w:p w:rsidR="00E3220A" w:rsidRDefault="00E3220A" w:rsidP="00E3220A">
      <w:pPr>
        <w:spacing w:after="0" w:line="240" w:lineRule="auto"/>
        <w:ind w:left="720"/>
        <w:jc w:val="both"/>
        <w:rPr>
          <w:bCs/>
        </w:rPr>
      </w:pPr>
      <w:r w:rsidRPr="00506D41">
        <w:rPr>
          <w:bCs/>
          <w:u w:val="single"/>
        </w:rPr>
        <w:t>Profilaxis de infecciones por Herpes simple</w:t>
      </w:r>
      <w:proofErr w:type="gramStart"/>
      <w:r w:rsidRPr="00506D41">
        <w:rPr>
          <w:bCs/>
          <w:u w:val="single"/>
        </w:rPr>
        <w:t>:</w:t>
      </w:r>
      <w:r>
        <w:rPr>
          <w:bCs/>
        </w:rPr>
        <w:t xml:space="preserve">  en</w:t>
      </w:r>
      <w:proofErr w:type="gramEnd"/>
      <w:r>
        <w:rPr>
          <w:bCs/>
        </w:rPr>
        <w:t xml:space="preserve"> pacientes </w:t>
      </w:r>
      <w:proofErr w:type="spellStart"/>
      <w:r>
        <w:rPr>
          <w:bCs/>
        </w:rPr>
        <w:t>inmunocompetentes</w:t>
      </w:r>
      <w:proofErr w:type="spellEnd"/>
      <w:r>
        <w:rPr>
          <w:bCs/>
        </w:rPr>
        <w:t xml:space="preserve">, 500 mg/24 h y 500 mg/12 h en pacientes inmunodeprimidos. </w:t>
      </w:r>
    </w:p>
    <w:p w:rsidR="00E3220A" w:rsidRDefault="00E3220A" w:rsidP="00E3220A">
      <w:pPr>
        <w:spacing w:after="0" w:line="240" w:lineRule="auto"/>
        <w:ind w:left="720"/>
        <w:jc w:val="both"/>
        <w:rPr>
          <w:bCs/>
        </w:rPr>
      </w:pPr>
      <w:r w:rsidRPr="00506D41">
        <w:rPr>
          <w:bCs/>
          <w:u w:val="single"/>
        </w:rPr>
        <w:t>Para recurrencias frecuentes</w:t>
      </w:r>
      <w:r>
        <w:rPr>
          <w:bCs/>
        </w:rPr>
        <w:t xml:space="preserve"> (10 o más por año) 250 mg/12 h.</w:t>
      </w:r>
    </w:p>
    <w:p w:rsidR="00E3220A" w:rsidRDefault="00E3220A" w:rsidP="00E3220A">
      <w:pPr>
        <w:pStyle w:val="Prrafodelista"/>
        <w:ind w:left="1440"/>
        <w:jc w:val="both"/>
        <w:rPr>
          <w:color w:val="00B050"/>
        </w:rPr>
      </w:pPr>
    </w:p>
    <w:tbl>
      <w:tblPr>
        <w:tblW w:w="9165" w:type="dxa"/>
        <w:tblCellMar>
          <w:left w:w="70" w:type="dxa"/>
          <w:right w:w="70" w:type="dxa"/>
        </w:tblCellMar>
        <w:tblLook w:val="04A0" w:firstRow="1" w:lastRow="0" w:firstColumn="1" w:lastColumn="0" w:noHBand="0" w:noVBand="1"/>
      </w:tblPr>
      <w:tblGrid>
        <w:gridCol w:w="1098"/>
        <w:gridCol w:w="8067"/>
      </w:tblGrid>
      <w:tr w:rsidR="00E3220A" w:rsidRPr="002D0CF6" w:rsidTr="00C4645B">
        <w:trPr>
          <w:trHeight w:val="300"/>
        </w:trPr>
        <w:tc>
          <w:tcPr>
            <w:tcW w:w="1098" w:type="dxa"/>
            <w:tcBorders>
              <w:top w:val="nil"/>
              <w:left w:val="nil"/>
              <w:bottom w:val="nil"/>
              <w:right w:val="nil"/>
            </w:tcBorders>
            <w:shd w:val="clear" w:color="auto" w:fill="auto"/>
            <w:noWrap/>
            <w:vAlign w:val="bottom"/>
            <w:hideMark/>
          </w:tcPr>
          <w:p w:rsidR="00E3220A" w:rsidRPr="00C06B48" w:rsidRDefault="00E3220A" w:rsidP="00C4645B">
            <w:pPr>
              <w:spacing w:after="0" w:line="240" w:lineRule="auto"/>
              <w:rPr>
                <w:b/>
                <w:i/>
                <w:color w:val="00B050"/>
              </w:rPr>
            </w:pPr>
            <w:r w:rsidRPr="00C06B48">
              <w:rPr>
                <w:b/>
                <w:i/>
                <w:color w:val="00B050"/>
              </w:rPr>
              <w:t>J06BB01.A</w:t>
            </w:r>
          </w:p>
        </w:tc>
        <w:tc>
          <w:tcPr>
            <w:tcW w:w="8067" w:type="dxa"/>
            <w:tcBorders>
              <w:top w:val="nil"/>
              <w:left w:val="nil"/>
              <w:bottom w:val="nil"/>
              <w:right w:val="nil"/>
            </w:tcBorders>
            <w:shd w:val="clear" w:color="auto" w:fill="auto"/>
            <w:noWrap/>
            <w:vAlign w:val="center"/>
            <w:hideMark/>
          </w:tcPr>
          <w:p w:rsidR="00E3220A" w:rsidRPr="005E65AF" w:rsidRDefault="00E3220A" w:rsidP="00C4645B">
            <w:pPr>
              <w:spacing w:after="0" w:line="240" w:lineRule="auto"/>
              <w:rPr>
                <w:b/>
                <w:i/>
                <w:color w:val="00B050"/>
              </w:rPr>
            </w:pPr>
            <w:r w:rsidRPr="00C06B48">
              <w:rPr>
                <w:b/>
                <w:i/>
                <w:color w:val="00B050"/>
              </w:rPr>
              <w:t>INMUNOGLOBULINA ANTI-D (RH)</w:t>
            </w:r>
            <w:r w:rsidRPr="005E65AF">
              <w:rPr>
                <w:b/>
                <w:i/>
                <w:color w:val="00B050"/>
              </w:rPr>
              <w:t xml:space="preserve"> </w:t>
            </w:r>
          </w:p>
        </w:tc>
      </w:tr>
    </w:tbl>
    <w:p w:rsidR="00E3220A" w:rsidRDefault="00E3220A" w:rsidP="00E3220A">
      <w:pPr>
        <w:jc w:val="both"/>
        <w:rPr>
          <w:b/>
          <w:i/>
          <w:color w:val="1F3864" w:themeColor="accent1" w:themeShade="80"/>
        </w:rPr>
      </w:pPr>
    </w:p>
    <w:p w:rsidR="00E3220A" w:rsidRDefault="00E3220A" w:rsidP="00E3220A">
      <w:pPr>
        <w:pStyle w:val="Prrafodelista"/>
        <w:numPr>
          <w:ilvl w:val="0"/>
          <w:numId w:val="12"/>
        </w:numPr>
        <w:jc w:val="both"/>
      </w:pPr>
      <w:r w:rsidRPr="000C12F6">
        <w:t>Prevención de la formación de anticuerpos anti-Rho (D) en mujeres Rho (D),</w:t>
      </w:r>
      <w:r>
        <w:t xml:space="preserve"> Du</w:t>
      </w:r>
      <w:r w:rsidRPr="000C12F6">
        <w:t xml:space="preserve"> negativas, que hayan recibido sangre Rh positiva por hemorragia </w:t>
      </w:r>
      <w:proofErr w:type="spellStart"/>
      <w:r w:rsidRPr="000C12F6">
        <w:t>fetomaterna</w:t>
      </w:r>
      <w:proofErr w:type="spellEnd"/>
      <w:r w:rsidRPr="000C12F6">
        <w:t xml:space="preserve"> como consecuencia de un parto o un aborto</w:t>
      </w:r>
      <w:r>
        <w:t xml:space="preserve"> previo</w:t>
      </w:r>
      <w:r w:rsidRPr="000C12F6">
        <w:t>.</w:t>
      </w:r>
    </w:p>
    <w:p w:rsidR="00E3220A" w:rsidRPr="0063584F" w:rsidRDefault="00E3220A" w:rsidP="00E3220A">
      <w:pPr>
        <w:pStyle w:val="Prrafodelista"/>
        <w:numPr>
          <w:ilvl w:val="0"/>
          <w:numId w:val="12"/>
        </w:numPr>
        <w:jc w:val="both"/>
      </w:pPr>
      <w:r>
        <w:t xml:space="preserve">Prevención en </w:t>
      </w:r>
      <w:r w:rsidRPr="000C12F6">
        <w:t>personas Rho (D), Du negativas, que hayan recibido sangre Rh positiva por transfusión equivocada.</w:t>
      </w:r>
      <w:r>
        <w:t xml:space="preserve"> </w:t>
      </w:r>
    </w:p>
    <w:p w:rsidR="00E3220A" w:rsidRPr="0063584F" w:rsidRDefault="00E3220A" w:rsidP="00E3220A">
      <w:pPr>
        <w:pStyle w:val="Prrafodelista"/>
        <w:numPr>
          <w:ilvl w:val="0"/>
          <w:numId w:val="12"/>
        </w:numPr>
        <w:jc w:val="both"/>
      </w:pPr>
      <w:r w:rsidRPr="0063584F">
        <w:t>Profilaxis preparto:</w:t>
      </w:r>
      <w:r>
        <w:t xml:space="preserve"> La posología recomendada es una dosis única de 300 </w:t>
      </w:r>
      <w:proofErr w:type="spellStart"/>
      <w:r>
        <w:t>mcg</w:t>
      </w:r>
      <w:proofErr w:type="spellEnd"/>
      <w:r>
        <w:t xml:space="preserve"> (1500 UI), administrada por vía intravenosa o intramuscular </w:t>
      </w:r>
      <w:r w:rsidRPr="0063584F">
        <w:t>en la semana 28a a 30a del embarazo.</w:t>
      </w:r>
    </w:p>
    <w:p w:rsidR="00E3220A" w:rsidRDefault="00E3220A" w:rsidP="00E3220A">
      <w:pPr>
        <w:pStyle w:val="Prrafodelista"/>
        <w:numPr>
          <w:ilvl w:val="0"/>
          <w:numId w:val="12"/>
        </w:numPr>
        <w:jc w:val="both"/>
      </w:pPr>
      <w:r w:rsidRPr="0063584F">
        <w:t>Profilaxis postparto:</w:t>
      </w:r>
      <w:r>
        <w:t xml:space="preserve"> La dosis indicada para la administración intravenosa es de 200 </w:t>
      </w:r>
      <w:proofErr w:type="spellStart"/>
      <w:r>
        <w:t>mcg</w:t>
      </w:r>
      <w:proofErr w:type="spellEnd"/>
      <w:r>
        <w:t xml:space="preserve"> (1000 UI). En la administración intramuscular la dosis recomendada oscila entre 200mcg (1000 UI) y 300mcg (1500 UI). </w:t>
      </w:r>
    </w:p>
    <w:p w:rsidR="00E3220A" w:rsidRDefault="00E3220A" w:rsidP="00E3220A">
      <w:pPr>
        <w:pStyle w:val="Prrafodelista"/>
        <w:numPr>
          <w:ilvl w:val="0"/>
          <w:numId w:val="12"/>
        </w:numPr>
        <w:jc w:val="both"/>
      </w:pPr>
      <w:r>
        <w:t xml:space="preserve">Debe administrarse lo antes posible, </w:t>
      </w:r>
      <w:r w:rsidRPr="0063584F">
        <w:t>dentro de las 72 horas después del parto</w:t>
      </w:r>
      <w:r>
        <w:t xml:space="preserve">. La dosis postparto debe administrarse incluso cuando se ha administrado una dosis como profilaxis preparto. </w:t>
      </w:r>
    </w:p>
    <w:p w:rsidR="00E3220A" w:rsidRDefault="00E3220A" w:rsidP="00E3220A">
      <w:pPr>
        <w:pStyle w:val="Prrafodelista"/>
        <w:numPr>
          <w:ilvl w:val="0"/>
          <w:numId w:val="12"/>
        </w:numPr>
        <w:jc w:val="both"/>
      </w:pPr>
      <w:r w:rsidRPr="0063584F">
        <w:t>Uso excepcional:</w:t>
      </w:r>
      <w:r>
        <w:t xml:space="preserve"> Si se sospecha de una </w:t>
      </w:r>
      <w:r w:rsidRPr="0063584F">
        <w:t>gran hemorragia materno fetal</w:t>
      </w:r>
      <w:r>
        <w:t xml:space="preserve"> (mayor a 4 </w:t>
      </w:r>
      <w:proofErr w:type="spellStart"/>
      <w:r>
        <w:t>mL</w:t>
      </w:r>
      <w:proofErr w:type="spellEnd"/>
      <w:r>
        <w:t xml:space="preserve"> (0.7-0.8% de la mujer)} como, por ejemplo, en el caso de anemia fetal o muerte fetal intrauterina, se debe determinar la extensión de la misma con un método adecuado como la prueba de </w:t>
      </w:r>
      <w:proofErr w:type="spellStart"/>
      <w:r>
        <w:t>Kleihauer</w:t>
      </w:r>
      <w:proofErr w:type="spellEnd"/>
      <w:r>
        <w:t xml:space="preserve"> - </w:t>
      </w:r>
      <w:proofErr w:type="spellStart"/>
      <w:r>
        <w:t>Betke</w:t>
      </w:r>
      <w:proofErr w:type="spellEnd"/>
      <w:r>
        <w:t>, y deberá administrarse una dosis adicional de inmunoglobulina humana anti D (</w:t>
      </w:r>
      <w:r w:rsidRPr="0063584F">
        <w:t xml:space="preserve">20 </w:t>
      </w:r>
      <w:proofErr w:type="spellStart"/>
      <w:r w:rsidRPr="0063584F">
        <w:t>mcg</w:t>
      </w:r>
      <w:proofErr w:type="spellEnd"/>
      <w:r w:rsidRPr="0063584F">
        <w:t xml:space="preserve"> /100 UI por cada </w:t>
      </w:r>
      <w:proofErr w:type="spellStart"/>
      <w:r w:rsidRPr="0063584F">
        <w:t>mL</w:t>
      </w:r>
      <w:proofErr w:type="spellEnd"/>
      <w:r w:rsidRPr="0063584F">
        <w:t xml:space="preserve"> de eritrocitos fetales</w:t>
      </w:r>
      <w:r>
        <w:t>)</w:t>
      </w:r>
    </w:p>
    <w:p w:rsidR="00E3220A" w:rsidRDefault="00E3220A" w:rsidP="00E3220A">
      <w:pPr>
        <w:pStyle w:val="Prrafodelista"/>
        <w:ind w:left="1440"/>
        <w:jc w:val="both"/>
        <w:rPr>
          <w:color w:val="00B050"/>
        </w:rPr>
      </w:pPr>
    </w:p>
    <w:p w:rsidR="00E3220A" w:rsidRDefault="00E3220A" w:rsidP="00E3220A">
      <w:pPr>
        <w:jc w:val="both"/>
        <w:rPr>
          <w:b/>
          <w:i/>
          <w:color w:val="00B050"/>
          <w:lang w:val="pt-BR"/>
        </w:rPr>
      </w:pPr>
      <w:proofErr w:type="gramStart"/>
      <w:r w:rsidRPr="00C06B48">
        <w:rPr>
          <w:b/>
          <w:i/>
          <w:color w:val="00B050"/>
          <w:lang w:val="pt-BR"/>
        </w:rPr>
        <w:t>J06BB02.</w:t>
      </w:r>
      <w:proofErr w:type="gramEnd"/>
      <w:r w:rsidRPr="00C06B48">
        <w:rPr>
          <w:b/>
          <w:i/>
          <w:color w:val="00B050"/>
          <w:lang w:val="pt-BR"/>
        </w:rPr>
        <w:t>A INMUNOGLOBULINA ANTITETANICA</w:t>
      </w:r>
      <w:r w:rsidRPr="002100FB">
        <w:rPr>
          <w:b/>
          <w:i/>
          <w:color w:val="00B050"/>
          <w:lang w:val="pt-BR"/>
        </w:rPr>
        <w:t xml:space="preserve"> </w:t>
      </w:r>
    </w:p>
    <w:p w:rsidR="00E3220A" w:rsidRPr="0063584F" w:rsidRDefault="00E3220A" w:rsidP="00E3220A">
      <w:pPr>
        <w:pStyle w:val="Prrafodelista"/>
        <w:numPr>
          <w:ilvl w:val="0"/>
          <w:numId w:val="12"/>
        </w:numPr>
        <w:jc w:val="both"/>
      </w:pPr>
      <w:r w:rsidRPr="0063584F">
        <w:t xml:space="preserve">Se indica en pacientes con esquemas de vacunación incompleta exclusivamente, 6 horas antes de la cirugía, o tras una herida considerada de riesgo. </w:t>
      </w:r>
    </w:p>
    <w:p w:rsidR="00E3220A" w:rsidRDefault="00E3220A" w:rsidP="00E3220A">
      <w:pPr>
        <w:pStyle w:val="Prrafodelista"/>
        <w:numPr>
          <w:ilvl w:val="0"/>
          <w:numId w:val="12"/>
        </w:numPr>
        <w:jc w:val="both"/>
      </w:pPr>
      <w:r w:rsidRPr="0063584F">
        <w:lastRenderedPageBreak/>
        <w:t>No está indicada en aquellos que hayan recibido un esquema completo en la infancia y luego haber realizado al menos dos refuerzos, separados cada 10 años, en la edad adulta.</w:t>
      </w:r>
    </w:p>
    <w:p w:rsidR="00E3220A" w:rsidRDefault="00E3220A" w:rsidP="00E3220A">
      <w:pPr>
        <w:pStyle w:val="Prrafodelista"/>
        <w:jc w:val="both"/>
      </w:pPr>
    </w:p>
    <w:p w:rsidR="00E3220A" w:rsidRPr="00E3220A" w:rsidRDefault="00E3220A" w:rsidP="00E3220A">
      <w:pPr>
        <w:pStyle w:val="Prrafodelista"/>
        <w:jc w:val="both"/>
        <w:rPr>
          <w:b/>
          <w:i/>
          <w:color w:val="00B050"/>
        </w:rPr>
      </w:pPr>
    </w:p>
    <w:p w:rsidR="00E3220A" w:rsidRPr="00E3220A" w:rsidRDefault="00E3220A" w:rsidP="00E3220A">
      <w:pPr>
        <w:tabs>
          <w:tab w:val="left" w:pos="1250"/>
        </w:tabs>
        <w:rPr>
          <w:rFonts w:cs="Arial"/>
          <w:b/>
          <w:i/>
          <w:color w:val="00B050"/>
        </w:rPr>
      </w:pPr>
      <w:r w:rsidRPr="00E3220A">
        <w:rPr>
          <w:rFonts w:cs="Arial"/>
          <w:b/>
          <w:i/>
          <w:color w:val="00B050"/>
        </w:rPr>
        <w:t>J06BB</w:t>
      </w:r>
      <w:r w:rsidRPr="00E3220A">
        <w:rPr>
          <w:rFonts w:cs="Arial"/>
          <w:b/>
          <w:i/>
          <w:color w:val="00B050"/>
        </w:rPr>
        <w:tab/>
        <w:t>INMUNOGLOBULINAS ESPECÍFICAS</w:t>
      </w:r>
    </w:p>
    <w:p w:rsidR="00E3220A" w:rsidRPr="000857B4" w:rsidRDefault="00E3220A" w:rsidP="00E3220A">
      <w:pPr>
        <w:jc w:val="both"/>
        <w:rPr>
          <w:color w:val="00B050"/>
          <w:lang w:val="pt-BR"/>
        </w:rPr>
      </w:pPr>
      <w:proofErr w:type="gramStart"/>
      <w:r w:rsidRPr="000857B4">
        <w:rPr>
          <w:b/>
          <w:i/>
          <w:color w:val="00B050"/>
          <w:lang w:val="pt-BR"/>
        </w:rPr>
        <w:t>J06BB04.</w:t>
      </w:r>
      <w:proofErr w:type="gramEnd"/>
      <w:r w:rsidRPr="000857B4">
        <w:rPr>
          <w:b/>
          <w:i/>
          <w:color w:val="00B050"/>
          <w:lang w:val="pt-BR"/>
        </w:rPr>
        <w:t xml:space="preserve">A INMUNOGLOBULINA ANTIHEPATITIS B  </w:t>
      </w:r>
    </w:p>
    <w:p w:rsidR="00E3220A" w:rsidRPr="000857B4" w:rsidRDefault="00E3220A" w:rsidP="00E3220A">
      <w:pPr>
        <w:pStyle w:val="Prrafodelista"/>
        <w:numPr>
          <w:ilvl w:val="0"/>
          <w:numId w:val="12"/>
        </w:numPr>
        <w:jc w:val="both"/>
      </w:pPr>
      <w:r w:rsidRPr="000857B4">
        <w:t xml:space="preserve">Profilaxis de transmisión vertical en recién nacidos de madres portadoras crónicas de virus de hepatitis B. </w:t>
      </w:r>
    </w:p>
    <w:p w:rsidR="00E3220A" w:rsidRPr="000857B4" w:rsidRDefault="00E3220A" w:rsidP="00E3220A">
      <w:pPr>
        <w:pStyle w:val="Prrafodelista"/>
        <w:numPr>
          <w:ilvl w:val="0"/>
          <w:numId w:val="12"/>
        </w:numPr>
        <w:jc w:val="both"/>
      </w:pPr>
      <w:r w:rsidRPr="000857B4">
        <w:t xml:space="preserve">Profilaxis </w:t>
      </w:r>
      <w:proofErr w:type="spellStart"/>
      <w:r w:rsidRPr="000857B4">
        <w:t>postexposición</w:t>
      </w:r>
      <w:proofErr w:type="spellEnd"/>
      <w:r w:rsidRPr="000857B4">
        <w:t xml:space="preserve"> a virus de hepatitis B por inoculación </w:t>
      </w:r>
      <w:proofErr w:type="spellStart"/>
      <w:r w:rsidRPr="000857B4">
        <w:t>transdérmica</w:t>
      </w:r>
      <w:proofErr w:type="spellEnd"/>
      <w:r w:rsidRPr="000857B4">
        <w:t xml:space="preserve"> o mucosa, dentro de los 2 días del contacto.</w:t>
      </w:r>
    </w:p>
    <w:p w:rsidR="00E3220A" w:rsidRPr="000857B4" w:rsidRDefault="00E3220A" w:rsidP="00E3220A">
      <w:pPr>
        <w:jc w:val="both"/>
        <w:rPr>
          <w:b/>
          <w:i/>
          <w:color w:val="00B050"/>
        </w:rPr>
      </w:pPr>
    </w:p>
    <w:p w:rsidR="00E3220A" w:rsidRPr="008B196F" w:rsidRDefault="00E3220A" w:rsidP="00E3220A">
      <w:pPr>
        <w:jc w:val="both"/>
        <w:rPr>
          <w:color w:val="00B050"/>
        </w:rPr>
      </w:pPr>
      <w:r w:rsidRPr="000857B4">
        <w:rPr>
          <w:b/>
          <w:i/>
          <w:color w:val="00B050"/>
        </w:rPr>
        <w:t>J06BB05.A INMUNOGLOBULINA ANTIRRABICA</w:t>
      </w:r>
    </w:p>
    <w:p w:rsidR="00E3220A" w:rsidRPr="00D63DB5" w:rsidRDefault="00E3220A" w:rsidP="00E3220A">
      <w:pPr>
        <w:pStyle w:val="Prrafodelista"/>
        <w:numPr>
          <w:ilvl w:val="0"/>
          <w:numId w:val="12"/>
        </w:numPr>
        <w:jc w:val="both"/>
      </w:pPr>
      <w:r w:rsidRPr="00D63DB5">
        <w:t>Prevención de la rabia tras una exposición de categoría III de la OMS (salvo si el paciente ha sido correctamente vacunado contra la rabia antes de la exposición), en combinación con la vacuna antirrábica</w:t>
      </w:r>
    </w:p>
    <w:p w:rsidR="00E3220A" w:rsidRPr="00D63DB5" w:rsidRDefault="00E3220A" w:rsidP="00E3220A">
      <w:pPr>
        <w:pStyle w:val="Prrafodelista"/>
        <w:numPr>
          <w:ilvl w:val="0"/>
          <w:numId w:val="12"/>
        </w:numPr>
        <w:jc w:val="both"/>
      </w:pPr>
      <w:r w:rsidRPr="00D63DB5">
        <w:t>Prevención de la rabia tras una exposición de categoría II o III en los pacientes inmunodeprimidos (incluso si el paciente estaba correctamente vacunado contra la rabia antes de la exposición), en combinación con la vacuna antirrábica</w:t>
      </w:r>
    </w:p>
    <w:p w:rsidR="00AF4136" w:rsidRPr="00E3220A" w:rsidRDefault="00AF4136" w:rsidP="00AF4136">
      <w:pPr>
        <w:tabs>
          <w:tab w:val="left" w:pos="1250"/>
        </w:tabs>
        <w:ind w:left="50"/>
        <w:rPr>
          <w:rFonts w:cs="Arial"/>
        </w:rPr>
      </w:pPr>
    </w:p>
    <w:p w:rsidR="00AF4136" w:rsidRPr="0030140E" w:rsidRDefault="00AF4136" w:rsidP="00AF4136">
      <w:pPr>
        <w:tabs>
          <w:tab w:val="left" w:pos="1320"/>
        </w:tabs>
        <w:ind w:left="113"/>
        <w:rPr>
          <w:rFonts w:cs="Arial"/>
          <w:b/>
          <w:bCs/>
          <w:i/>
          <w:color w:val="00B050"/>
        </w:rPr>
      </w:pPr>
      <w:r w:rsidRPr="0030140E">
        <w:rPr>
          <w:rFonts w:cs="Arial"/>
          <w:b/>
          <w:i/>
          <w:color w:val="00B050"/>
        </w:rPr>
        <w:t>J07</w:t>
      </w:r>
      <w:r w:rsidRPr="0030140E">
        <w:rPr>
          <w:rFonts w:cs="Arial"/>
          <w:b/>
          <w:i/>
          <w:color w:val="00B050"/>
        </w:rPr>
        <w:tab/>
      </w:r>
      <w:r w:rsidRPr="0030140E">
        <w:rPr>
          <w:rFonts w:cs="Arial"/>
          <w:b/>
          <w:bCs/>
          <w:i/>
          <w:color w:val="00B050"/>
        </w:rPr>
        <w:t>VACUNAS</w:t>
      </w:r>
    </w:p>
    <w:p w:rsidR="00AF4136" w:rsidRPr="00E3220A" w:rsidRDefault="00AF4136" w:rsidP="00AF4136">
      <w:pPr>
        <w:tabs>
          <w:tab w:val="left" w:pos="1320"/>
        </w:tabs>
        <w:ind w:left="113"/>
        <w:jc w:val="both"/>
        <w:rPr>
          <w:rFonts w:cs="Arial"/>
        </w:rPr>
      </w:pPr>
      <w:r w:rsidRPr="00E3220A">
        <w:rPr>
          <w:rFonts w:cs="Arial"/>
        </w:rPr>
        <w:t>Las vacunas de carácter universal y obligatorio, incluidas en el Calendario Oficial de Vacunación establecido por el Ministerio de Salud de la Nación se reciben en forma permanente y gratuita en todos los hospitales públicos, salas y puestos sanitarios (CAPS) de todo el país, y de nuestra provincia por lo que SEMPRE otorga esta cobertura en situaciones excepcionales con carácter complementario.</w:t>
      </w:r>
    </w:p>
    <w:p w:rsidR="00AF4136" w:rsidRPr="00E3220A" w:rsidRDefault="00AF4136" w:rsidP="00AF4136">
      <w:pPr>
        <w:tabs>
          <w:tab w:val="left" w:pos="1320"/>
        </w:tabs>
        <w:ind w:left="113"/>
        <w:jc w:val="both"/>
        <w:rPr>
          <w:rFonts w:cs="Arial"/>
        </w:rPr>
      </w:pPr>
      <w:r w:rsidRPr="00E3220A">
        <w:rPr>
          <w:rFonts w:cs="Arial"/>
        </w:rPr>
        <w:t xml:space="preserve">Las vacunas destinadas a poblaciones especiales y/o grupos de riesgo particular recibirán cobertura de SEMPRE siguiendo las indicaciones precisas que resulten convencionales.  </w:t>
      </w:r>
    </w:p>
    <w:p w:rsidR="00AF4136" w:rsidRPr="0030140E" w:rsidRDefault="00AF4136" w:rsidP="00AF4136">
      <w:pPr>
        <w:tabs>
          <w:tab w:val="left" w:pos="1320"/>
        </w:tabs>
        <w:ind w:left="113"/>
        <w:rPr>
          <w:rFonts w:cs="Arial"/>
          <w:b/>
          <w:i/>
          <w:color w:val="00B050"/>
        </w:rPr>
      </w:pPr>
    </w:p>
    <w:p w:rsidR="00AF4136" w:rsidRPr="0030140E" w:rsidRDefault="00AF4136" w:rsidP="00AF4136">
      <w:pPr>
        <w:tabs>
          <w:tab w:val="left" w:pos="1320"/>
        </w:tabs>
        <w:ind w:left="113"/>
        <w:rPr>
          <w:rFonts w:cs="Arial"/>
          <w:b/>
          <w:i/>
          <w:color w:val="00B050"/>
        </w:rPr>
      </w:pPr>
      <w:r w:rsidRPr="0030140E">
        <w:rPr>
          <w:rFonts w:cs="Arial"/>
          <w:b/>
          <w:i/>
          <w:color w:val="00B050"/>
        </w:rPr>
        <w:t>J07A</w:t>
      </w:r>
      <w:r w:rsidRPr="0030140E">
        <w:rPr>
          <w:rFonts w:cs="Arial"/>
          <w:b/>
          <w:i/>
          <w:color w:val="00B050"/>
        </w:rPr>
        <w:tab/>
        <w:t>VACUNAS BACTERIANAS</w:t>
      </w:r>
    </w:p>
    <w:p w:rsidR="00AF4136" w:rsidRPr="0030140E" w:rsidRDefault="00AF4136" w:rsidP="00AF4136">
      <w:pPr>
        <w:tabs>
          <w:tab w:val="left" w:pos="1320"/>
        </w:tabs>
        <w:ind w:left="113"/>
        <w:rPr>
          <w:rFonts w:cs="Arial"/>
          <w:b/>
          <w:i/>
          <w:color w:val="00B050"/>
        </w:rPr>
      </w:pPr>
      <w:r w:rsidRPr="0030140E">
        <w:rPr>
          <w:rFonts w:cs="Arial"/>
          <w:b/>
          <w:i/>
          <w:color w:val="00B050"/>
        </w:rPr>
        <w:t xml:space="preserve">J07AG01   VACUNA ANTIHEMOPHILUS </w:t>
      </w:r>
    </w:p>
    <w:p w:rsidR="00AF4136" w:rsidRPr="0030140E" w:rsidRDefault="00AF4136" w:rsidP="00396EBC">
      <w:pPr>
        <w:numPr>
          <w:ilvl w:val="0"/>
          <w:numId w:val="54"/>
        </w:numPr>
        <w:spacing w:after="0" w:line="240" w:lineRule="auto"/>
        <w:jc w:val="both"/>
        <w:rPr>
          <w:rFonts w:cs="Arial"/>
        </w:rPr>
      </w:pPr>
      <w:r w:rsidRPr="0030140E">
        <w:rPr>
          <w:snapToGrid w:val="0"/>
        </w:rPr>
        <w:t xml:space="preserve">Se recomienda vacunar con DPT (triple bacteriana), de acuerdo al siguiente esquema: a) lactantes de </w:t>
      </w:r>
      <w:smartTag w:uri="urn:schemas-microsoft-com:office:smarttags" w:element="metricconverter">
        <w:smartTagPr>
          <w:attr w:name="ProductID" w:val="2 a"/>
        </w:smartTagPr>
        <w:r w:rsidRPr="0030140E">
          <w:rPr>
            <w:snapToGrid w:val="0"/>
          </w:rPr>
          <w:t>2 a</w:t>
        </w:r>
      </w:smartTag>
      <w:r w:rsidRPr="0030140E">
        <w:rPr>
          <w:snapToGrid w:val="0"/>
        </w:rPr>
        <w:t xml:space="preserve"> 6 meses  de edad (3 dosis con intervalos de 2 meses cada una y un refuerzo a los 18 meses de edad); b) entre </w:t>
      </w:r>
      <w:smartTag w:uri="urn:schemas-microsoft-com:office:smarttags" w:element="metricconverter">
        <w:smartTagPr>
          <w:attr w:name="ProductID" w:val="7 a"/>
        </w:smartTagPr>
        <w:r w:rsidRPr="0030140E">
          <w:rPr>
            <w:snapToGrid w:val="0"/>
          </w:rPr>
          <w:t>7 a</w:t>
        </w:r>
      </w:smartTag>
      <w:r w:rsidRPr="0030140E">
        <w:rPr>
          <w:snapToGrid w:val="0"/>
        </w:rPr>
        <w:t xml:space="preserve"> 11 meses de edad (2 dosis con intervalos de 2 meses cada una y un refuerzo a los 18 meses); niños entre 12 y 16 meses  (1 dosis y 1 refuerzo a los 18 meses)</w:t>
      </w:r>
    </w:p>
    <w:p w:rsidR="00AF4136" w:rsidRPr="0030140E" w:rsidRDefault="00AF4136" w:rsidP="00AF4136">
      <w:pPr>
        <w:ind w:left="360"/>
        <w:jc w:val="both"/>
        <w:rPr>
          <w:rFonts w:cs="Arial"/>
        </w:rPr>
      </w:pPr>
    </w:p>
    <w:p w:rsidR="00AF4136" w:rsidRPr="0030140E" w:rsidRDefault="00AF4136" w:rsidP="00AF4136">
      <w:pPr>
        <w:tabs>
          <w:tab w:val="left" w:pos="1320"/>
        </w:tabs>
        <w:ind w:left="113"/>
        <w:rPr>
          <w:rFonts w:cs="Arial"/>
          <w:b/>
          <w:i/>
          <w:color w:val="00B050"/>
        </w:rPr>
      </w:pPr>
      <w:r w:rsidRPr="0030140E">
        <w:rPr>
          <w:rFonts w:cs="Arial"/>
          <w:b/>
          <w:i/>
          <w:color w:val="00B050"/>
        </w:rPr>
        <w:t>J07AJ51</w:t>
      </w:r>
      <w:r w:rsidRPr="0030140E">
        <w:rPr>
          <w:rFonts w:cs="Arial"/>
          <w:b/>
          <w:i/>
          <w:color w:val="00B050"/>
        </w:rPr>
        <w:tab/>
        <w:t xml:space="preserve">VACUNA TRIPLE (DIFTERIA, TETANOS Y PERTUSSIS)               </w:t>
      </w:r>
    </w:p>
    <w:p w:rsidR="00AF4136" w:rsidRPr="0030140E" w:rsidRDefault="00AF4136" w:rsidP="00396EBC">
      <w:pPr>
        <w:numPr>
          <w:ilvl w:val="0"/>
          <w:numId w:val="54"/>
        </w:numPr>
        <w:tabs>
          <w:tab w:val="left" w:pos="1320"/>
        </w:tabs>
        <w:spacing w:after="0" w:line="240" w:lineRule="auto"/>
        <w:jc w:val="both"/>
        <w:rPr>
          <w:rFonts w:cs="Arial"/>
        </w:rPr>
      </w:pPr>
      <w:r w:rsidRPr="0030140E">
        <w:rPr>
          <w:snapToGrid w:val="0"/>
        </w:rPr>
        <w:lastRenderedPageBreak/>
        <w:t xml:space="preserve">Se recomienda DPT (triple bacteriana), de acuerdo al siguiente esquema: a) lactantes de </w:t>
      </w:r>
      <w:smartTag w:uri="urn:schemas-microsoft-com:office:smarttags" w:element="metricconverter">
        <w:smartTagPr>
          <w:attr w:name="ProductID" w:val="2 a"/>
        </w:smartTagPr>
        <w:r w:rsidRPr="0030140E">
          <w:rPr>
            <w:snapToGrid w:val="0"/>
          </w:rPr>
          <w:t>2 a</w:t>
        </w:r>
      </w:smartTag>
      <w:r w:rsidRPr="0030140E">
        <w:rPr>
          <w:snapToGrid w:val="0"/>
        </w:rPr>
        <w:t xml:space="preserve"> 6 meses de edad (3 dosis con intervalos de 2 meses cada una y la 4ª dosis a los 18 meses de edad; se aplica un refuerzo a los 6 años de vida.</w:t>
      </w:r>
    </w:p>
    <w:p w:rsidR="0030140E" w:rsidRPr="0030140E" w:rsidRDefault="0030140E" w:rsidP="0030140E">
      <w:pPr>
        <w:tabs>
          <w:tab w:val="left" w:pos="1320"/>
        </w:tabs>
        <w:spacing w:after="0" w:line="240" w:lineRule="auto"/>
        <w:ind w:left="1080"/>
        <w:jc w:val="both"/>
        <w:rPr>
          <w:rFonts w:cs="Arial"/>
        </w:rPr>
      </w:pPr>
    </w:p>
    <w:p w:rsidR="0030140E" w:rsidRPr="00FF0991" w:rsidRDefault="0030140E" w:rsidP="0030140E">
      <w:pPr>
        <w:jc w:val="both"/>
        <w:rPr>
          <w:b/>
          <w:i/>
          <w:color w:val="00B050"/>
        </w:rPr>
      </w:pPr>
      <w:r w:rsidRPr="00056597">
        <w:rPr>
          <w:b/>
          <w:i/>
          <w:color w:val="00B050"/>
        </w:rPr>
        <w:t>J07AL01.A VACUNA ANTINEUMOCOCCICA (23 valencias)</w:t>
      </w:r>
      <w:r w:rsidRPr="00FF0991">
        <w:rPr>
          <w:b/>
          <w:i/>
          <w:color w:val="00B050"/>
        </w:rPr>
        <w:t xml:space="preserve">  </w:t>
      </w:r>
    </w:p>
    <w:p w:rsidR="0030140E" w:rsidRPr="00F954BA" w:rsidRDefault="0030140E" w:rsidP="0030140E">
      <w:pPr>
        <w:pStyle w:val="Prrafodelista"/>
        <w:numPr>
          <w:ilvl w:val="0"/>
          <w:numId w:val="12"/>
        </w:numPr>
        <w:jc w:val="both"/>
      </w:pPr>
      <w:r w:rsidRPr="00F954BA">
        <w:t xml:space="preserve">La vacuna de 23 valencias (serotipos para los que otorga inmunidad) está indicada en pacientes de alto riesgo entre los que se destacan: en niños y adultos (mayores y menores de 65 años) con alguna de las siguientes comorbilidades: </w:t>
      </w:r>
      <w:proofErr w:type="spellStart"/>
      <w:r w:rsidRPr="00F954BA">
        <w:t>esplenectomizados</w:t>
      </w:r>
      <w:proofErr w:type="spellEnd"/>
      <w:r w:rsidRPr="00F954BA">
        <w:t>, cardiopatías congénitas, insuficiencia renal crónica, síndrome nefrótico, leucemias y linfomas, enfermedad pulmonar obstructiva crónica, cirrosis hepática y SIDA.</w:t>
      </w:r>
    </w:p>
    <w:p w:rsidR="0030140E" w:rsidRPr="00F954BA" w:rsidRDefault="0030140E" w:rsidP="0030140E">
      <w:pPr>
        <w:pStyle w:val="Prrafodelista"/>
        <w:numPr>
          <w:ilvl w:val="0"/>
          <w:numId w:val="12"/>
        </w:numPr>
        <w:jc w:val="both"/>
      </w:pPr>
      <w:r w:rsidRPr="00F954BA">
        <w:t>Dosis: según edad, situación y tipo de vacuna.</w:t>
      </w:r>
    </w:p>
    <w:p w:rsidR="0030140E" w:rsidRDefault="0030140E" w:rsidP="0030140E">
      <w:pPr>
        <w:pStyle w:val="Prrafodelista"/>
        <w:ind w:left="1440"/>
        <w:jc w:val="both"/>
        <w:rPr>
          <w:color w:val="00B050"/>
        </w:rPr>
      </w:pPr>
    </w:p>
    <w:p w:rsidR="0030140E" w:rsidRPr="009A766E" w:rsidRDefault="0030140E" w:rsidP="0030140E">
      <w:pPr>
        <w:jc w:val="both"/>
        <w:rPr>
          <w:b/>
          <w:i/>
          <w:color w:val="00B050"/>
        </w:rPr>
      </w:pPr>
      <w:r w:rsidRPr="00056597">
        <w:rPr>
          <w:b/>
          <w:i/>
          <w:color w:val="00B050"/>
        </w:rPr>
        <w:t>J07AL02.A VACUNA ANTINEUMOCOCCICA CONJUGADA (13 valencias)</w:t>
      </w:r>
    </w:p>
    <w:p w:rsidR="0030140E" w:rsidRDefault="0030140E" w:rsidP="0030140E">
      <w:pPr>
        <w:pStyle w:val="Prrafodelista"/>
        <w:numPr>
          <w:ilvl w:val="0"/>
          <w:numId w:val="6"/>
        </w:numPr>
        <w:jc w:val="both"/>
      </w:pPr>
      <w:r>
        <w:t>El acceso a vacunas incluidas en el Calendario Oficial de Vacunación se encuentra a cargo del Estado Nacional, con carácter complementario y ante dificultades de acceso a la campaña que realizan los efectores de Salud Pública de modo rutinario, el SEMPRE otorga cobertura</w:t>
      </w:r>
    </w:p>
    <w:p w:rsidR="0030140E" w:rsidRDefault="0030140E" w:rsidP="0030140E">
      <w:pPr>
        <w:pStyle w:val="Prrafodelista"/>
        <w:numPr>
          <w:ilvl w:val="0"/>
          <w:numId w:val="6"/>
        </w:numPr>
        <w:jc w:val="both"/>
      </w:pPr>
      <w:r>
        <w:t xml:space="preserve">Profilaxis y/o tratamiento de acuerdo a normas y recomendaciones del Ministerio de Salud de la Nación de aplicación en cada caso. </w:t>
      </w:r>
    </w:p>
    <w:p w:rsidR="00273DDF" w:rsidRPr="0030140E" w:rsidRDefault="00273DDF" w:rsidP="00273DDF">
      <w:pPr>
        <w:tabs>
          <w:tab w:val="left" w:pos="1320"/>
        </w:tabs>
        <w:ind w:left="113"/>
        <w:rPr>
          <w:rFonts w:cs="Arial"/>
          <w:b/>
          <w:i/>
          <w:color w:val="00B050"/>
        </w:rPr>
      </w:pPr>
      <w:r w:rsidRPr="0030140E">
        <w:rPr>
          <w:rFonts w:cs="Arial"/>
          <w:b/>
          <w:i/>
          <w:color w:val="00B050"/>
        </w:rPr>
        <w:t>J07AM</w:t>
      </w:r>
      <w:r w:rsidRPr="0030140E">
        <w:rPr>
          <w:rFonts w:cs="Arial"/>
          <w:b/>
          <w:i/>
          <w:color w:val="00B050"/>
        </w:rPr>
        <w:tab/>
        <w:t>VACUNAS TETANO</w:t>
      </w:r>
    </w:p>
    <w:p w:rsidR="00273DDF" w:rsidRPr="0030140E" w:rsidRDefault="00273DDF" w:rsidP="00273DDF">
      <w:pPr>
        <w:tabs>
          <w:tab w:val="left" w:pos="1320"/>
        </w:tabs>
        <w:ind w:left="113"/>
        <w:rPr>
          <w:rFonts w:cs="Arial"/>
          <w:b/>
          <w:i/>
          <w:color w:val="00B050"/>
        </w:rPr>
      </w:pPr>
      <w:r w:rsidRPr="0030140E">
        <w:rPr>
          <w:rFonts w:cs="Arial"/>
          <w:b/>
          <w:i/>
          <w:color w:val="00B050"/>
        </w:rPr>
        <w:t>J07AM51</w:t>
      </w:r>
      <w:r w:rsidRPr="0030140E">
        <w:rPr>
          <w:rFonts w:cs="Arial"/>
          <w:b/>
          <w:i/>
          <w:color w:val="00B050"/>
        </w:rPr>
        <w:tab/>
        <w:t xml:space="preserve">VACUNA DOBLE (DIFTERIA Y TETANOS) </w:t>
      </w:r>
    </w:p>
    <w:p w:rsidR="00273DDF" w:rsidRPr="0030140E" w:rsidRDefault="00273DDF" w:rsidP="00396EBC">
      <w:pPr>
        <w:numPr>
          <w:ilvl w:val="0"/>
          <w:numId w:val="54"/>
        </w:numPr>
        <w:tabs>
          <w:tab w:val="left" w:pos="1320"/>
        </w:tabs>
        <w:spacing w:after="0" w:line="240" w:lineRule="auto"/>
        <w:jc w:val="both"/>
        <w:rPr>
          <w:rFonts w:cs="Arial"/>
        </w:rPr>
      </w:pPr>
      <w:r w:rsidRPr="0030140E">
        <w:rPr>
          <w:rFonts w:cs="Arial"/>
        </w:rPr>
        <w:t>Refuerzo a los 16 años y luego 1 refuerzo cada 10 años.</w:t>
      </w:r>
    </w:p>
    <w:p w:rsidR="00273DDF" w:rsidRPr="0030140E" w:rsidRDefault="00273DDF" w:rsidP="00396EBC">
      <w:pPr>
        <w:numPr>
          <w:ilvl w:val="0"/>
          <w:numId w:val="54"/>
        </w:numPr>
        <w:tabs>
          <w:tab w:val="left" w:pos="1320"/>
        </w:tabs>
        <w:spacing w:after="0" w:line="240" w:lineRule="auto"/>
        <w:jc w:val="both"/>
        <w:rPr>
          <w:rFonts w:cs="Arial"/>
        </w:rPr>
      </w:pPr>
      <w:r w:rsidRPr="0030140E">
        <w:rPr>
          <w:rFonts w:cs="Arial"/>
        </w:rPr>
        <w:t>En la embarazada, a partir del 2º trimestre aplicar 1º y 2º dosis o refuerzo según corresponda y luego un refuerzo cada 10 años.</w:t>
      </w:r>
    </w:p>
    <w:p w:rsidR="00273DDF" w:rsidRPr="0030140E" w:rsidRDefault="00273DDF" w:rsidP="00273DDF">
      <w:pPr>
        <w:tabs>
          <w:tab w:val="left" w:pos="1320"/>
        </w:tabs>
        <w:ind w:left="360"/>
        <w:jc w:val="both"/>
        <w:rPr>
          <w:rFonts w:cs="Arial"/>
        </w:rPr>
      </w:pPr>
    </w:p>
    <w:p w:rsidR="00273DDF" w:rsidRPr="0030140E" w:rsidRDefault="00273DDF" w:rsidP="00273DDF">
      <w:pPr>
        <w:tabs>
          <w:tab w:val="left" w:pos="1320"/>
        </w:tabs>
        <w:ind w:left="113"/>
        <w:rPr>
          <w:rFonts w:cs="Arial"/>
          <w:b/>
          <w:i/>
          <w:color w:val="00B050"/>
        </w:rPr>
      </w:pPr>
      <w:r w:rsidRPr="0030140E">
        <w:rPr>
          <w:rFonts w:cs="Arial"/>
          <w:b/>
          <w:i/>
          <w:color w:val="00B050"/>
        </w:rPr>
        <w:t>J07AM52</w:t>
      </w:r>
      <w:r w:rsidRPr="0030140E">
        <w:rPr>
          <w:rFonts w:cs="Arial"/>
          <w:b/>
          <w:i/>
          <w:color w:val="00B050"/>
        </w:rPr>
        <w:tab/>
        <w:t xml:space="preserve">INMUNOGLOBULINA ANTITETANICA, COMBINADA CON  TOXOIDES </w:t>
      </w:r>
    </w:p>
    <w:p w:rsidR="00273DDF" w:rsidRPr="0030140E" w:rsidRDefault="00273DDF" w:rsidP="00396EBC">
      <w:pPr>
        <w:pStyle w:val="Textosinformato"/>
        <w:numPr>
          <w:ilvl w:val="0"/>
          <w:numId w:val="55"/>
        </w:numPr>
        <w:jc w:val="both"/>
        <w:rPr>
          <w:rFonts w:asciiTheme="minorHAnsi" w:hAnsiTheme="minorHAnsi" w:cs="Times New Roman"/>
          <w:b w:val="0"/>
          <w:sz w:val="22"/>
          <w:szCs w:val="22"/>
        </w:rPr>
      </w:pPr>
      <w:r w:rsidRPr="0030140E">
        <w:rPr>
          <w:rFonts w:asciiTheme="minorHAnsi" w:hAnsiTheme="minorHAnsi" w:cs="Times New Roman"/>
          <w:b w:val="0"/>
          <w:sz w:val="22"/>
          <w:szCs w:val="22"/>
        </w:rPr>
        <w:t xml:space="preserve">Se indica en pacientes con esquemas de vacunación incompleta exclusivamente, 6 horas antes de la cirugía, o tras una herida considerada de riesgo. </w:t>
      </w:r>
    </w:p>
    <w:p w:rsidR="00273DDF" w:rsidRPr="0030140E" w:rsidRDefault="00273DDF" w:rsidP="00396EBC">
      <w:pPr>
        <w:pStyle w:val="Textosinformato"/>
        <w:numPr>
          <w:ilvl w:val="0"/>
          <w:numId w:val="55"/>
        </w:numPr>
        <w:jc w:val="both"/>
        <w:rPr>
          <w:rFonts w:asciiTheme="minorHAnsi" w:hAnsiTheme="minorHAnsi" w:cs="Times New Roman"/>
          <w:b w:val="0"/>
          <w:sz w:val="22"/>
          <w:szCs w:val="22"/>
        </w:rPr>
      </w:pPr>
      <w:r w:rsidRPr="0030140E">
        <w:rPr>
          <w:rFonts w:asciiTheme="minorHAnsi" w:hAnsiTheme="minorHAnsi" w:cs="Times New Roman"/>
          <w:b w:val="0"/>
          <w:sz w:val="22"/>
          <w:szCs w:val="22"/>
        </w:rPr>
        <w:t>No está indicada en aquellos que hayan recibido un esquema completo en la infancia y luego haber realizado al menos dos refuerzos, separados cada 10 años, en la edad adulta.</w:t>
      </w:r>
    </w:p>
    <w:p w:rsidR="00273DDF" w:rsidRDefault="00273DDF" w:rsidP="0030140E">
      <w:pPr>
        <w:jc w:val="both"/>
        <w:rPr>
          <w:b/>
          <w:i/>
          <w:color w:val="00B050"/>
        </w:rPr>
      </w:pPr>
    </w:p>
    <w:p w:rsidR="00AF4136" w:rsidRPr="0030140E" w:rsidRDefault="00AF4136" w:rsidP="00AF4136">
      <w:pPr>
        <w:tabs>
          <w:tab w:val="left" w:pos="1320"/>
        </w:tabs>
        <w:ind w:left="113"/>
        <w:rPr>
          <w:rFonts w:cs="Arial"/>
          <w:b/>
          <w:i/>
          <w:color w:val="00B050"/>
        </w:rPr>
      </w:pPr>
      <w:r w:rsidRPr="0030140E">
        <w:rPr>
          <w:rFonts w:cs="Arial"/>
          <w:b/>
          <w:i/>
          <w:color w:val="00B050"/>
        </w:rPr>
        <w:t>J07BC</w:t>
      </w:r>
      <w:r w:rsidRPr="0030140E">
        <w:rPr>
          <w:rFonts w:cs="Arial"/>
          <w:b/>
          <w:i/>
          <w:color w:val="00B050"/>
        </w:rPr>
        <w:tab/>
        <w:t>VACUNAS HEPATITIS</w:t>
      </w:r>
    </w:p>
    <w:p w:rsidR="00273DDF" w:rsidRPr="0030140E" w:rsidRDefault="00273DDF" w:rsidP="00273DDF">
      <w:pPr>
        <w:tabs>
          <w:tab w:val="left" w:pos="1320"/>
        </w:tabs>
        <w:ind w:left="113"/>
        <w:rPr>
          <w:rFonts w:cs="Arial"/>
          <w:b/>
          <w:i/>
          <w:color w:val="00B050"/>
        </w:rPr>
      </w:pPr>
      <w:r w:rsidRPr="0030140E">
        <w:rPr>
          <w:rFonts w:cs="Arial"/>
          <w:b/>
          <w:i/>
          <w:color w:val="00B050"/>
        </w:rPr>
        <w:t>J07BC01</w:t>
      </w:r>
      <w:r w:rsidRPr="0030140E">
        <w:rPr>
          <w:rFonts w:cs="Arial"/>
          <w:b/>
          <w:i/>
          <w:color w:val="00B050"/>
        </w:rPr>
        <w:tab/>
        <w:t xml:space="preserve">VACUNA ANTIHEPATITIS B </w:t>
      </w:r>
    </w:p>
    <w:p w:rsidR="00273DDF" w:rsidRPr="0030140E" w:rsidRDefault="00273DDF" w:rsidP="00396EBC">
      <w:pPr>
        <w:numPr>
          <w:ilvl w:val="0"/>
          <w:numId w:val="56"/>
        </w:numPr>
        <w:tabs>
          <w:tab w:val="left" w:pos="1320"/>
        </w:tabs>
        <w:spacing w:after="0" w:line="240" w:lineRule="auto"/>
        <w:jc w:val="both"/>
        <w:rPr>
          <w:rFonts w:cs="Arial"/>
        </w:rPr>
      </w:pPr>
      <w:r w:rsidRPr="0030140E">
        <w:rPr>
          <w:snapToGrid w:val="0"/>
        </w:rPr>
        <w:t xml:space="preserve">Se recomienda vacuna </w:t>
      </w:r>
      <w:proofErr w:type="spellStart"/>
      <w:r w:rsidRPr="0030140E">
        <w:rPr>
          <w:snapToGrid w:val="0"/>
        </w:rPr>
        <w:t>antihepatitis</w:t>
      </w:r>
      <w:proofErr w:type="spellEnd"/>
      <w:r w:rsidRPr="0030140E">
        <w:rPr>
          <w:snapToGrid w:val="0"/>
        </w:rPr>
        <w:t xml:space="preserve"> B, de acuerdo al siguiente esquema: 1ª dosis en las primeras 12 horas de vida, 2ª y 3ª dosis a los 2 y 6 meses y a los 11 años refuerzo para completar esquema. </w:t>
      </w:r>
    </w:p>
    <w:p w:rsidR="00273DDF" w:rsidRPr="0030140E" w:rsidRDefault="00273DDF" w:rsidP="00396EBC">
      <w:pPr>
        <w:numPr>
          <w:ilvl w:val="0"/>
          <w:numId w:val="56"/>
        </w:numPr>
        <w:tabs>
          <w:tab w:val="left" w:pos="1320"/>
        </w:tabs>
        <w:spacing w:after="0" w:line="240" w:lineRule="auto"/>
        <w:jc w:val="both"/>
        <w:rPr>
          <w:rFonts w:cs="Arial"/>
        </w:rPr>
      </w:pPr>
      <w:r w:rsidRPr="0030140E">
        <w:rPr>
          <w:rFonts w:cs="Arial"/>
        </w:rPr>
        <w:t>Si no recibió el esquema en la infancia, se aplica a los 11 años la 1ª dosis, la 2ª dosis al mes de recibida la primera y la 3ª (última) a los 6 meses de recibida la primera.</w:t>
      </w:r>
    </w:p>
    <w:p w:rsidR="00273DDF" w:rsidRDefault="00273DDF" w:rsidP="00273DDF">
      <w:pPr>
        <w:jc w:val="both"/>
        <w:rPr>
          <w:b/>
          <w:i/>
          <w:color w:val="00B050"/>
        </w:rPr>
      </w:pPr>
    </w:p>
    <w:p w:rsidR="00273DDF" w:rsidRPr="009A766E" w:rsidRDefault="00273DDF" w:rsidP="00273DDF">
      <w:pPr>
        <w:jc w:val="both"/>
        <w:rPr>
          <w:color w:val="00B050"/>
        </w:rPr>
      </w:pPr>
      <w:r w:rsidRPr="00056597">
        <w:rPr>
          <w:b/>
          <w:i/>
          <w:color w:val="00B050"/>
        </w:rPr>
        <w:t>J07BC02.A VACUNA ANTIHEPATITIS A</w:t>
      </w:r>
    </w:p>
    <w:p w:rsidR="00273DDF" w:rsidRDefault="00273DDF" w:rsidP="00273DDF">
      <w:pPr>
        <w:pStyle w:val="Prrafodelista"/>
        <w:numPr>
          <w:ilvl w:val="0"/>
          <w:numId w:val="6"/>
        </w:numPr>
        <w:jc w:val="both"/>
      </w:pPr>
      <w:r>
        <w:lastRenderedPageBreak/>
        <w:t xml:space="preserve">El acceso a vacunas incluidas en el Calendario Oficial de Vacunación se encuentra a cargo del Estado Nacional, con carácter complementario y ante dificultades de acceso a la campaña que realizan los efectores de Salud </w:t>
      </w:r>
      <w:proofErr w:type="spellStart"/>
      <w:r>
        <w:t>Publica</w:t>
      </w:r>
      <w:proofErr w:type="spellEnd"/>
      <w:r>
        <w:t xml:space="preserve"> de modo rutinario, el SEMPRE otorga cobertura</w:t>
      </w:r>
    </w:p>
    <w:p w:rsidR="00273DDF" w:rsidRDefault="00273DDF" w:rsidP="00273DDF">
      <w:pPr>
        <w:pStyle w:val="Prrafodelista"/>
        <w:numPr>
          <w:ilvl w:val="0"/>
          <w:numId w:val="6"/>
        </w:numPr>
        <w:jc w:val="both"/>
      </w:pPr>
      <w:r>
        <w:t xml:space="preserve">Profilaxis y/o tratamiento de acuerdo a normas y recomendaciones del Ministerio de Salud de la Nación de aplicación en cada caso. </w:t>
      </w:r>
    </w:p>
    <w:p w:rsidR="00273DDF" w:rsidRPr="0030140E" w:rsidRDefault="00273DDF" w:rsidP="00273DDF">
      <w:pPr>
        <w:tabs>
          <w:tab w:val="left" w:pos="1320"/>
        </w:tabs>
        <w:ind w:left="113"/>
        <w:rPr>
          <w:rFonts w:cs="Arial"/>
        </w:rPr>
      </w:pPr>
    </w:p>
    <w:p w:rsidR="00273DDF" w:rsidRDefault="00273DDF" w:rsidP="00AF4136">
      <w:pPr>
        <w:tabs>
          <w:tab w:val="left" w:pos="1320"/>
        </w:tabs>
        <w:ind w:left="113"/>
        <w:rPr>
          <w:rFonts w:cs="Arial"/>
          <w:b/>
          <w:i/>
          <w:color w:val="00B050"/>
        </w:rPr>
      </w:pPr>
    </w:p>
    <w:p w:rsidR="00273DDF" w:rsidRDefault="00273DDF" w:rsidP="00AF4136">
      <w:pPr>
        <w:tabs>
          <w:tab w:val="left" w:pos="1320"/>
        </w:tabs>
        <w:ind w:left="113"/>
        <w:rPr>
          <w:rFonts w:cs="Arial"/>
          <w:b/>
          <w:i/>
          <w:color w:val="00B050"/>
        </w:rPr>
      </w:pPr>
    </w:p>
    <w:p w:rsidR="00AF4136" w:rsidRPr="0030140E" w:rsidRDefault="00AF4136" w:rsidP="00AF4136">
      <w:pPr>
        <w:tabs>
          <w:tab w:val="left" w:pos="1320"/>
        </w:tabs>
        <w:ind w:left="113"/>
        <w:rPr>
          <w:rFonts w:cs="Arial"/>
        </w:rPr>
      </w:pPr>
    </w:p>
    <w:p w:rsidR="00AF4136" w:rsidRPr="0030140E" w:rsidRDefault="00AF4136" w:rsidP="00AF4136">
      <w:pPr>
        <w:tabs>
          <w:tab w:val="left" w:pos="1320"/>
        </w:tabs>
        <w:ind w:left="113"/>
        <w:rPr>
          <w:rFonts w:cs="Arial"/>
          <w:b/>
          <w:i/>
          <w:color w:val="00B050"/>
        </w:rPr>
      </w:pPr>
      <w:r w:rsidRPr="0030140E">
        <w:rPr>
          <w:rFonts w:cs="Arial"/>
          <w:b/>
          <w:i/>
          <w:color w:val="00B050"/>
        </w:rPr>
        <w:t>J07BD</w:t>
      </w:r>
      <w:r w:rsidRPr="0030140E">
        <w:rPr>
          <w:rFonts w:cs="Arial"/>
          <w:b/>
          <w:i/>
          <w:color w:val="00B050"/>
        </w:rPr>
        <w:tab/>
        <w:t>VACUNAS SARAMPION</w:t>
      </w:r>
    </w:p>
    <w:p w:rsidR="00AF4136" w:rsidRPr="0030140E" w:rsidRDefault="00AF4136" w:rsidP="00AF4136">
      <w:pPr>
        <w:tabs>
          <w:tab w:val="left" w:pos="1320"/>
        </w:tabs>
        <w:ind w:left="113"/>
        <w:rPr>
          <w:rFonts w:cs="Arial"/>
          <w:b/>
          <w:i/>
          <w:color w:val="00B050"/>
        </w:rPr>
      </w:pPr>
      <w:r w:rsidRPr="0030140E">
        <w:rPr>
          <w:rFonts w:cs="Arial"/>
          <w:b/>
          <w:i/>
          <w:color w:val="00B050"/>
        </w:rPr>
        <w:t>J07BD52</w:t>
      </w:r>
      <w:r w:rsidRPr="0030140E">
        <w:rPr>
          <w:rFonts w:cs="Arial"/>
          <w:b/>
          <w:i/>
          <w:color w:val="00B050"/>
        </w:rPr>
        <w:tab/>
        <w:t xml:space="preserve">VACUNA TRIVALENTE ANTIVIRAL (SARAMPION,  RUBEOLA Y PAROTIDITIS)  </w:t>
      </w:r>
    </w:p>
    <w:p w:rsidR="00AF4136" w:rsidRPr="0030140E" w:rsidRDefault="00AF4136" w:rsidP="00396EBC">
      <w:pPr>
        <w:numPr>
          <w:ilvl w:val="0"/>
          <w:numId w:val="57"/>
        </w:numPr>
        <w:tabs>
          <w:tab w:val="left" w:pos="1320"/>
        </w:tabs>
        <w:spacing w:after="0" w:line="240" w:lineRule="auto"/>
        <w:jc w:val="both"/>
        <w:rPr>
          <w:rFonts w:cs="Arial"/>
        </w:rPr>
      </w:pPr>
      <w:r w:rsidRPr="0030140E">
        <w:rPr>
          <w:snapToGrid w:val="0"/>
        </w:rPr>
        <w:t>Se recomienda SRP (triple antiviral), de acuerdo al siguiente esquema: 1ª dosis a los 12 meses y la 2ª a los 6 años de vida.</w:t>
      </w:r>
    </w:p>
    <w:p w:rsidR="00AF4136" w:rsidRPr="0030140E" w:rsidRDefault="00AF4136" w:rsidP="00396EBC">
      <w:pPr>
        <w:numPr>
          <w:ilvl w:val="0"/>
          <w:numId w:val="57"/>
        </w:numPr>
        <w:tabs>
          <w:tab w:val="left" w:pos="1320"/>
        </w:tabs>
        <w:spacing w:after="0" w:line="240" w:lineRule="auto"/>
        <w:jc w:val="both"/>
        <w:rPr>
          <w:rFonts w:cs="Arial"/>
        </w:rPr>
      </w:pPr>
      <w:r w:rsidRPr="0030140E">
        <w:rPr>
          <w:snapToGrid w:val="0"/>
        </w:rPr>
        <w:t>Se aplican un refuerzo a los 11 años aquellos que no han recibido previamente, las 2 dosis de triple viral correspondientes o 2 dosis de doble viral.</w:t>
      </w:r>
    </w:p>
    <w:p w:rsidR="00AF4136" w:rsidRPr="0030140E" w:rsidRDefault="00AF4136" w:rsidP="00AF4136">
      <w:pPr>
        <w:tabs>
          <w:tab w:val="left" w:pos="1320"/>
        </w:tabs>
        <w:ind w:left="113"/>
        <w:rPr>
          <w:rFonts w:cs="Arial"/>
        </w:rPr>
      </w:pPr>
    </w:p>
    <w:p w:rsidR="00AF4136" w:rsidRPr="0030140E" w:rsidRDefault="00AF4136" w:rsidP="00AF4136">
      <w:pPr>
        <w:tabs>
          <w:tab w:val="left" w:pos="1320"/>
        </w:tabs>
        <w:ind w:left="113"/>
        <w:rPr>
          <w:rFonts w:cs="Arial"/>
          <w:b/>
          <w:i/>
          <w:color w:val="00B050"/>
        </w:rPr>
      </w:pPr>
      <w:r w:rsidRPr="0030140E">
        <w:rPr>
          <w:rFonts w:cs="Arial"/>
          <w:b/>
          <w:i/>
          <w:color w:val="00B050"/>
        </w:rPr>
        <w:t>J07BF</w:t>
      </w:r>
      <w:r w:rsidRPr="0030140E">
        <w:rPr>
          <w:rFonts w:cs="Arial"/>
          <w:b/>
          <w:i/>
          <w:color w:val="00B050"/>
        </w:rPr>
        <w:tab/>
        <w:t>VACUNAS POLIOMIELITIS</w:t>
      </w:r>
    </w:p>
    <w:p w:rsidR="00AF4136" w:rsidRPr="0030140E" w:rsidRDefault="00AF4136" w:rsidP="00AF4136">
      <w:pPr>
        <w:tabs>
          <w:tab w:val="left" w:pos="1320"/>
        </w:tabs>
        <w:ind w:left="113"/>
        <w:rPr>
          <w:rFonts w:cs="Arial"/>
          <w:b/>
          <w:i/>
          <w:color w:val="00B050"/>
        </w:rPr>
      </w:pPr>
      <w:r w:rsidRPr="0030140E">
        <w:rPr>
          <w:rFonts w:cs="Arial"/>
          <w:b/>
          <w:i/>
          <w:color w:val="00B050"/>
        </w:rPr>
        <w:t>J07BF03</w:t>
      </w:r>
      <w:r w:rsidRPr="0030140E">
        <w:rPr>
          <w:rFonts w:cs="Arial"/>
          <w:b/>
          <w:i/>
          <w:color w:val="00B050"/>
        </w:rPr>
        <w:tab/>
        <w:t xml:space="preserve">VACUNA ANTIPOLIOMIELITICA, TRIVALENTE VIRUS </w:t>
      </w:r>
    </w:p>
    <w:p w:rsidR="00AF4136" w:rsidRPr="0030140E" w:rsidRDefault="00AF4136" w:rsidP="00AF4136">
      <w:pPr>
        <w:tabs>
          <w:tab w:val="left" w:pos="1320"/>
        </w:tabs>
        <w:ind w:left="113"/>
        <w:rPr>
          <w:rFonts w:cs="Arial"/>
          <w:b/>
          <w:i/>
          <w:color w:val="00B050"/>
        </w:rPr>
      </w:pPr>
      <w:r w:rsidRPr="0030140E">
        <w:rPr>
          <w:rFonts w:cs="Arial"/>
          <w:b/>
          <w:i/>
          <w:color w:val="00B050"/>
        </w:rPr>
        <w:t xml:space="preserve">               COMPLETO INACTIVADO </w:t>
      </w:r>
    </w:p>
    <w:p w:rsidR="00AF4136" w:rsidRPr="0030140E" w:rsidRDefault="00AF4136" w:rsidP="00396EBC">
      <w:pPr>
        <w:numPr>
          <w:ilvl w:val="0"/>
          <w:numId w:val="58"/>
        </w:numPr>
        <w:tabs>
          <w:tab w:val="left" w:pos="1320"/>
        </w:tabs>
        <w:spacing w:after="0" w:line="240" w:lineRule="auto"/>
        <w:jc w:val="both"/>
        <w:rPr>
          <w:rFonts w:cs="Arial"/>
        </w:rPr>
      </w:pPr>
      <w:r w:rsidRPr="0030140E">
        <w:rPr>
          <w:snapToGrid w:val="0"/>
        </w:rPr>
        <w:t xml:space="preserve">Se recomienda vacuna </w:t>
      </w:r>
      <w:proofErr w:type="spellStart"/>
      <w:r w:rsidRPr="0030140E">
        <w:rPr>
          <w:snapToGrid w:val="0"/>
        </w:rPr>
        <w:t>antipoliomielítica</w:t>
      </w:r>
      <w:proofErr w:type="spellEnd"/>
      <w:r w:rsidRPr="0030140E">
        <w:rPr>
          <w:snapToGrid w:val="0"/>
        </w:rPr>
        <w:t xml:space="preserve">, de acuerdo al siguiente esquema: a) lactantes de </w:t>
      </w:r>
      <w:smartTag w:uri="urn:schemas-microsoft-com:office:smarttags" w:element="metricconverter">
        <w:smartTagPr>
          <w:attr w:name="ProductID" w:val="2 a"/>
        </w:smartTagPr>
        <w:r w:rsidRPr="0030140E">
          <w:rPr>
            <w:snapToGrid w:val="0"/>
          </w:rPr>
          <w:t>2 a</w:t>
        </w:r>
      </w:smartTag>
      <w:r w:rsidRPr="0030140E">
        <w:rPr>
          <w:snapToGrid w:val="0"/>
        </w:rPr>
        <w:t xml:space="preserve"> 6 meses  de edad (3 dosis con intervalos de 2 meses cada una y la 4ª dosis a los 18 meses de edad; se aplica un refuerzo a los 6 años de vida.</w:t>
      </w:r>
    </w:p>
    <w:p w:rsidR="00AF4136" w:rsidRPr="0030140E" w:rsidRDefault="00AF4136" w:rsidP="00AF4136">
      <w:pPr>
        <w:tabs>
          <w:tab w:val="left" w:pos="1320"/>
        </w:tabs>
        <w:ind w:left="113"/>
        <w:rPr>
          <w:rFonts w:cs="Arial"/>
          <w:b/>
        </w:rPr>
      </w:pPr>
    </w:p>
    <w:p w:rsidR="00AF4136" w:rsidRPr="0030140E" w:rsidRDefault="00AF4136" w:rsidP="00AF4136">
      <w:pPr>
        <w:tabs>
          <w:tab w:val="left" w:pos="1320"/>
        </w:tabs>
        <w:ind w:left="113"/>
        <w:rPr>
          <w:rFonts w:cs="Arial"/>
          <w:b/>
          <w:i/>
          <w:color w:val="00B050"/>
        </w:rPr>
      </w:pPr>
      <w:r w:rsidRPr="0030140E">
        <w:rPr>
          <w:rFonts w:cs="Arial"/>
          <w:b/>
          <w:i/>
          <w:color w:val="00B050"/>
        </w:rPr>
        <w:t>J07BJ</w:t>
      </w:r>
      <w:r w:rsidRPr="0030140E">
        <w:rPr>
          <w:rFonts w:cs="Arial"/>
          <w:b/>
          <w:i/>
          <w:color w:val="00B050"/>
        </w:rPr>
        <w:tab/>
        <w:t>VACUNAS RUBEOLA</w:t>
      </w:r>
    </w:p>
    <w:p w:rsidR="00AF4136" w:rsidRPr="0030140E" w:rsidRDefault="00AF4136" w:rsidP="00AF4136">
      <w:pPr>
        <w:tabs>
          <w:tab w:val="left" w:pos="1320"/>
        </w:tabs>
        <w:ind w:left="113"/>
        <w:rPr>
          <w:rFonts w:cs="Arial"/>
          <w:b/>
          <w:i/>
          <w:color w:val="00B050"/>
        </w:rPr>
      </w:pPr>
      <w:r w:rsidRPr="0030140E">
        <w:rPr>
          <w:rFonts w:cs="Arial"/>
          <w:b/>
          <w:i/>
          <w:color w:val="00B050"/>
        </w:rPr>
        <w:t>J07BJ01</w:t>
      </w:r>
      <w:r w:rsidRPr="0030140E">
        <w:rPr>
          <w:rFonts w:cs="Arial"/>
          <w:b/>
          <w:i/>
          <w:color w:val="00B050"/>
        </w:rPr>
        <w:tab/>
        <w:t xml:space="preserve">VACUNA ANTIRRUBEOLA  </w:t>
      </w:r>
    </w:p>
    <w:p w:rsidR="00AF4136" w:rsidRPr="0030140E" w:rsidRDefault="00AF4136" w:rsidP="00396EBC">
      <w:pPr>
        <w:numPr>
          <w:ilvl w:val="0"/>
          <w:numId w:val="58"/>
        </w:numPr>
        <w:tabs>
          <w:tab w:val="left" w:pos="1320"/>
        </w:tabs>
        <w:spacing w:after="0" w:line="240" w:lineRule="auto"/>
        <w:jc w:val="both"/>
        <w:rPr>
          <w:rFonts w:cs="Arial"/>
        </w:rPr>
      </w:pPr>
      <w:r w:rsidRPr="0030140E">
        <w:rPr>
          <w:rFonts w:cs="Arial"/>
        </w:rPr>
        <w:t xml:space="preserve">Mujeres que no han sido vacunadas de niñas, al recibir SRP (triple antiviral) según calendario, con la precaución de no quedar embarazada los siguientes 3 meses a su aplicación por los efectos </w:t>
      </w:r>
      <w:proofErr w:type="spellStart"/>
      <w:r w:rsidRPr="0030140E">
        <w:rPr>
          <w:rFonts w:cs="Arial"/>
        </w:rPr>
        <w:t>teratogénicos</w:t>
      </w:r>
      <w:proofErr w:type="spellEnd"/>
      <w:r w:rsidRPr="0030140E">
        <w:rPr>
          <w:rFonts w:cs="Arial"/>
        </w:rPr>
        <w:t xml:space="preserve"> que provoca.</w:t>
      </w:r>
    </w:p>
    <w:p w:rsidR="00AF4136" w:rsidRPr="0030140E" w:rsidRDefault="00AF4136" w:rsidP="00AF4136">
      <w:pPr>
        <w:tabs>
          <w:tab w:val="left" w:pos="1320"/>
        </w:tabs>
        <w:ind w:left="113"/>
        <w:rPr>
          <w:rFonts w:cs="Arial"/>
        </w:rPr>
      </w:pPr>
    </w:p>
    <w:p w:rsidR="004368CA" w:rsidRPr="0030140E" w:rsidRDefault="004368CA" w:rsidP="004368CA">
      <w:pPr>
        <w:pStyle w:val="Prrafodelista"/>
        <w:jc w:val="both"/>
      </w:pPr>
    </w:p>
    <w:p w:rsidR="00AF4136" w:rsidRPr="00C4609E" w:rsidRDefault="00AF4136" w:rsidP="00AF4136">
      <w:pPr>
        <w:tabs>
          <w:tab w:val="left" w:pos="1320"/>
        </w:tabs>
        <w:ind w:left="113"/>
        <w:rPr>
          <w:rFonts w:cs="Arial"/>
          <w:b/>
          <w:i/>
          <w:color w:val="00B050"/>
        </w:rPr>
      </w:pPr>
      <w:r w:rsidRPr="00C4609E">
        <w:rPr>
          <w:rFonts w:cs="Arial"/>
          <w:b/>
          <w:i/>
          <w:color w:val="00B050"/>
        </w:rPr>
        <w:t>L04AA     AGENTES INMUNOSUPRESORES SELECTIVOS</w:t>
      </w:r>
    </w:p>
    <w:p w:rsidR="00AF4136" w:rsidRPr="00C4609E" w:rsidRDefault="00AF4136" w:rsidP="00AF4136">
      <w:pPr>
        <w:tabs>
          <w:tab w:val="left" w:pos="1161"/>
        </w:tabs>
        <w:ind w:left="50"/>
        <w:rPr>
          <w:rFonts w:cs="Arial"/>
          <w:b/>
          <w:i/>
          <w:color w:val="00B050"/>
        </w:rPr>
      </w:pPr>
      <w:r w:rsidRPr="00C4609E">
        <w:rPr>
          <w:rFonts w:cs="Arial"/>
          <w:b/>
          <w:i/>
          <w:color w:val="00B050"/>
        </w:rPr>
        <w:t>L04AA99</w:t>
      </w:r>
      <w:r w:rsidRPr="00C4609E">
        <w:rPr>
          <w:rFonts w:cs="Arial"/>
          <w:b/>
          <w:i/>
          <w:color w:val="00B050"/>
        </w:rPr>
        <w:tab/>
        <w:t xml:space="preserve">LEFLUNOMIDA  </w:t>
      </w:r>
    </w:p>
    <w:p w:rsidR="00AF4136" w:rsidRPr="00C4609E" w:rsidRDefault="00AF4136" w:rsidP="00396EBC">
      <w:pPr>
        <w:numPr>
          <w:ilvl w:val="0"/>
          <w:numId w:val="58"/>
        </w:numPr>
        <w:spacing w:after="0" w:line="240" w:lineRule="auto"/>
        <w:jc w:val="both"/>
        <w:rPr>
          <w:rFonts w:cs="Arial"/>
        </w:rPr>
      </w:pPr>
      <w:r w:rsidRPr="00C4609E">
        <w:rPr>
          <w:rFonts w:cs="Arial"/>
        </w:rPr>
        <w:t xml:space="preserve">Tratamiento en monoterapia para artritis </w:t>
      </w:r>
      <w:proofErr w:type="spellStart"/>
      <w:r w:rsidRPr="00C4609E">
        <w:rPr>
          <w:rFonts w:cs="Arial"/>
        </w:rPr>
        <w:t>reumatoidea</w:t>
      </w:r>
      <w:proofErr w:type="spellEnd"/>
      <w:r w:rsidRPr="00C4609E">
        <w:rPr>
          <w:rFonts w:cs="Arial"/>
        </w:rPr>
        <w:t xml:space="preserve"> que presentaron intolerancia inaceptable a </w:t>
      </w:r>
      <w:proofErr w:type="spellStart"/>
      <w:r w:rsidRPr="00C4609E">
        <w:rPr>
          <w:rFonts w:cs="Arial"/>
        </w:rPr>
        <w:t>metrotrexato</w:t>
      </w:r>
      <w:proofErr w:type="spellEnd"/>
      <w:r w:rsidRPr="00C4609E">
        <w:rPr>
          <w:rFonts w:cs="Arial"/>
        </w:rPr>
        <w:t>.</w:t>
      </w:r>
    </w:p>
    <w:p w:rsidR="00AF4136" w:rsidRPr="00C4609E" w:rsidRDefault="00AF4136" w:rsidP="00396EBC">
      <w:pPr>
        <w:numPr>
          <w:ilvl w:val="0"/>
          <w:numId w:val="58"/>
        </w:numPr>
        <w:spacing w:after="0" w:line="240" w:lineRule="auto"/>
        <w:jc w:val="both"/>
        <w:rPr>
          <w:rFonts w:cs="Arial"/>
        </w:rPr>
      </w:pPr>
      <w:r w:rsidRPr="00C4609E">
        <w:rPr>
          <w:rFonts w:cs="Arial"/>
        </w:rPr>
        <w:t xml:space="preserve">Tratamiento combinado con </w:t>
      </w:r>
      <w:proofErr w:type="spellStart"/>
      <w:r w:rsidRPr="00C4609E">
        <w:rPr>
          <w:rFonts w:cs="Arial"/>
        </w:rPr>
        <w:t>metotrexato</w:t>
      </w:r>
      <w:proofErr w:type="spellEnd"/>
      <w:r w:rsidRPr="00C4609E">
        <w:rPr>
          <w:rFonts w:cs="Arial"/>
        </w:rPr>
        <w:t xml:space="preserve"> en pacientes con artritis </w:t>
      </w:r>
      <w:proofErr w:type="spellStart"/>
      <w:r w:rsidRPr="00C4609E">
        <w:rPr>
          <w:rFonts w:cs="Arial"/>
        </w:rPr>
        <w:t>reumatoidea</w:t>
      </w:r>
      <w:proofErr w:type="spellEnd"/>
      <w:r w:rsidRPr="00C4609E">
        <w:rPr>
          <w:rFonts w:cs="Arial"/>
        </w:rPr>
        <w:t xml:space="preserve"> que no logran controlar manifestaciones severas de enfermedad y/o progresión o no alcanzan la remisión con dicho fármaco.</w:t>
      </w:r>
    </w:p>
    <w:p w:rsidR="00AF4136" w:rsidRPr="00C4609E" w:rsidRDefault="00AF4136" w:rsidP="00AF4136">
      <w:pPr>
        <w:tabs>
          <w:tab w:val="num" w:pos="720"/>
        </w:tabs>
        <w:ind w:left="720" w:hanging="360"/>
        <w:rPr>
          <w:rFonts w:cs="Arial"/>
        </w:rPr>
      </w:pPr>
      <w:r w:rsidRPr="00C4609E">
        <w:rPr>
          <w:rFonts w:cs="Arial"/>
          <w:u w:val="single"/>
        </w:rPr>
        <w:t>Dosis</w:t>
      </w:r>
      <w:r w:rsidRPr="00C4609E">
        <w:rPr>
          <w:rFonts w:cs="Arial"/>
        </w:rPr>
        <w:t>: de carga 100 mg/día durante 3 días y de mantenimiento  20</w:t>
      </w:r>
    </w:p>
    <w:p w:rsidR="00AF4136" w:rsidRPr="00C4609E" w:rsidRDefault="00AF4136" w:rsidP="00AF4136">
      <w:pPr>
        <w:tabs>
          <w:tab w:val="num" w:pos="720"/>
        </w:tabs>
        <w:ind w:left="720" w:hanging="360"/>
        <w:rPr>
          <w:rFonts w:cs="Arial"/>
        </w:rPr>
      </w:pPr>
      <w:r w:rsidRPr="00C4609E">
        <w:rPr>
          <w:rFonts w:cs="Arial"/>
        </w:rPr>
        <w:lastRenderedPageBreak/>
        <w:t xml:space="preserve">          mg /día en una sola toma.</w:t>
      </w:r>
    </w:p>
    <w:p w:rsidR="00AF4136" w:rsidRPr="00B1108B" w:rsidRDefault="00AF4136" w:rsidP="00AF4136">
      <w:pPr>
        <w:tabs>
          <w:tab w:val="left" w:pos="1320"/>
        </w:tabs>
        <w:ind w:left="113"/>
        <w:rPr>
          <w:rFonts w:ascii="Verdana" w:hAnsi="Verdana" w:cs="Arial"/>
          <w:b/>
        </w:rPr>
      </w:pPr>
    </w:p>
    <w:p w:rsidR="00AF4136" w:rsidRPr="00AF4136" w:rsidRDefault="00AF4136" w:rsidP="00AF4136">
      <w:pPr>
        <w:tabs>
          <w:tab w:val="left" w:pos="1320"/>
        </w:tabs>
        <w:ind w:left="113"/>
        <w:rPr>
          <w:rFonts w:cs="Arial"/>
          <w:b/>
          <w:i/>
          <w:color w:val="00B050"/>
        </w:rPr>
      </w:pPr>
      <w:r w:rsidRPr="00AF4136">
        <w:rPr>
          <w:rFonts w:cs="Arial"/>
          <w:b/>
          <w:i/>
          <w:color w:val="00B050"/>
        </w:rPr>
        <w:t>M01C</w:t>
      </w:r>
      <w:r w:rsidRPr="00AF4136">
        <w:rPr>
          <w:rFonts w:cs="Arial"/>
          <w:b/>
          <w:i/>
          <w:color w:val="00B050"/>
        </w:rPr>
        <w:tab/>
        <w:t>AGENTES ANTIREUMATICOS ESPECIFICOS</w:t>
      </w:r>
    </w:p>
    <w:tbl>
      <w:tblPr>
        <w:tblW w:w="9125" w:type="dxa"/>
        <w:tblCellMar>
          <w:left w:w="70" w:type="dxa"/>
          <w:right w:w="70" w:type="dxa"/>
        </w:tblCellMar>
        <w:tblLook w:val="04A0" w:firstRow="1" w:lastRow="0" w:firstColumn="1" w:lastColumn="0" w:noHBand="0" w:noVBand="1"/>
      </w:tblPr>
      <w:tblGrid>
        <w:gridCol w:w="1199"/>
        <w:gridCol w:w="7926"/>
      </w:tblGrid>
      <w:tr w:rsidR="00AF4136" w:rsidRPr="00AF4136" w:rsidTr="00C4645B">
        <w:trPr>
          <w:trHeight w:val="300"/>
        </w:trPr>
        <w:tc>
          <w:tcPr>
            <w:tcW w:w="1199" w:type="dxa"/>
            <w:tcBorders>
              <w:top w:val="nil"/>
              <w:left w:val="nil"/>
              <w:bottom w:val="nil"/>
              <w:right w:val="nil"/>
            </w:tcBorders>
            <w:shd w:val="clear" w:color="auto" w:fill="auto"/>
            <w:noWrap/>
            <w:vAlign w:val="bottom"/>
            <w:hideMark/>
          </w:tcPr>
          <w:p w:rsidR="00AF4136" w:rsidRPr="00AF4136" w:rsidRDefault="00AF4136" w:rsidP="00C4645B">
            <w:pPr>
              <w:spacing w:after="0" w:line="240" w:lineRule="auto"/>
              <w:rPr>
                <w:b/>
                <w:i/>
                <w:color w:val="00B050"/>
              </w:rPr>
            </w:pPr>
            <w:r w:rsidRPr="00AF4136">
              <w:rPr>
                <w:b/>
                <w:i/>
                <w:color w:val="00B050"/>
              </w:rPr>
              <w:t>M01CC01</w:t>
            </w:r>
          </w:p>
        </w:tc>
        <w:tc>
          <w:tcPr>
            <w:tcW w:w="7926" w:type="dxa"/>
            <w:tcBorders>
              <w:top w:val="nil"/>
              <w:left w:val="nil"/>
              <w:bottom w:val="nil"/>
              <w:right w:val="nil"/>
            </w:tcBorders>
            <w:shd w:val="clear" w:color="auto" w:fill="auto"/>
            <w:noWrap/>
            <w:vAlign w:val="bottom"/>
            <w:hideMark/>
          </w:tcPr>
          <w:p w:rsidR="00AF4136" w:rsidRPr="00AF4136" w:rsidRDefault="00AF4136" w:rsidP="00C4645B">
            <w:pPr>
              <w:spacing w:after="0" w:line="240" w:lineRule="auto"/>
              <w:rPr>
                <w:b/>
                <w:i/>
                <w:color w:val="00B050"/>
              </w:rPr>
            </w:pPr>
            <w:r w:rsidRPr="00AF4136">
              <w:rPr>
                <w:b/>
                <w:i/>
                <w:color w:val="00B050"/>
              </w:rPr>
              <w:t>PENICILAMINA</w:t>
            </w:r>
          </w:p>
        </w:tc>
      </w:tr>
    </w:tbl>
    <w:p w:rsidR="00AF4136" w:rsidRDefault="00AF4136" w:rsidP="00AF4136">
      <w:pPr>
        <w:jc w:val="both"/>
        <w:rPr>
          <w:b/>
          <w:i/>
          <w:color w:val="1F3864" w:themeColor="accent1" w:themeShade="80"/>
        </w:rPr>
      </w:pPr>
    </w:p>
    <w:p w:rsidR="00AF4136" w:rsidRDefault="00AF4136" w:rsidP="00AF4136">
      <w:pPr>
        <w:pStyle w:val="Prrafodelista"/>
        <w:numPr>
          <w:ilvl w:val="0"/>
          <w:numId w:val="11"/>
        </w:numPr>
        <w:jc w:val="both"/>
      </w:pPr>
      <w:r w:rsidRPr="00DA3846">
        <w:t xml:space="preserve">Enfermedad de Wilson. </w:t>
      </w:r>
    </w:p>
    <w:p w:rsidR="00AF4136" w:rsidRDefault="00AF4136" w:rsidP="00AF4136">
      <w:pPr>
        <w:pStyle w:val="Prrafodelista"/>
        <w:ind w:left="1440"/>
        <w:jc w:val="both"/>
      </w:pPr>
      <w:r>
        <w:t xml:space="preserve">        </w:t>
      </w:r>
      <w:r w:rsidRPr="00B655E2">
        <w:rPr>
          <w:u w:val="single"/>
        </w:rPr>
        <w:t>Dosis:</w:t>
      </w:r>
      <w:r w:rsidRPr="00DA3846">
        <w:t xml:space="preserve"> 750-1500 mg/día.</w:t>
      </w:r>
    </w:p>
    <w:p w:rsidR="00AF4136" w:rsidRDefault="00AF4136" w:rsidP="00AF4136">
      <w:pPr>
        <w:pStyle w:val="Prrafodelista"/>
        <w:numPr>
          <w:ilvl w:val="0"/>
          <w:numId w:val="11"/>
        </w:numPr>
        <w:jc w:val="both"/>
      </w:pPr>
      <w:r w:rsidRPr="00DA3846">
        <w:t xml:space="preserve">Artritis </w:t>
      </w:r>
      <w:proofErr w:type="spellStart"/>
      <w:r w:rsidRPr="00DA3846">
        <w:t>reumatoidea</w:t>
      </w:r>
      <w:proofErr w:type="spellEnd"/>
      <w:r w:rsidRPr="00DA3846">
        <w:t xml:space="preserve"> severa de curso progresivo refractaria a </w:t>
      </w:r>
      <w:proofErr w:type="spellStart"/>
      <w:r w:rsidRPr="00DA3846">
        <w:t>metotrexato</w:t>
      </w:r>
      <w:proofErr w:type="spellEnd"/>
      <w:r w:rsidRPr="00DA3846">
        <w:t xml:space="preserve">, </w:t>
      </w:r>
      <w:proofErr w:type="spellStart"/>
      <w:r w:rsidRPr="00DA3846">
        <w:t>hidroxicloroquina</w:t>
      </w:r>
      <w:proofErr w:type="spellEnd"/>
      <w:r w:rsidRPr="00DA3846">
        <w:t xml:space="preserve">, </w:t>
      </w:r>
      <w:proofErr w:type="spellStart"/>
      <w:r w:rsidRPr="00DA3846">
        <w:t>leflunomida</w:t>
      </w:r>
      <w:proofErr w:type="spellEnd"/>
      <w:r w:rsidRPr="00DA3846">
        <w:t xml:space="preserve"> y anti-TNF (casos seleccionados)</w:t>
      </w:r>
      <w:r>
        <w:t xml:space="preserve"> </w:t>
      </w:r>
    </w:p>
    <w:p w:rsidR="00AF4136" w:rsidRDefault="00AF4136" w:rsidP="00AF4136">
      <w:pPr>
        <w:pStyle w:val="Prrafodelista"/>
        <w:ind w:left="1815"/>
        <w:jc w:val="both"/>
      </w:pPr>
      <w:r w:rsidRPr="00B655E2">
        <w:rPr>
          <w:u w:val="single"/>
        </w:rPr>
        <w:t>Dosis:</w:t>
      </w:r>
      <w:r w:rsidRPr="00DA3846">
        <w:t xml:space="preserve"> 125-250 mg/día. </w:t>
      </w:r>
    </w:p>
    <w:p w:rsidR="00AF4136" w:rsidRDefault="00AF4136" w:rsidP="00AF4136">
      <w:pPr>
        <w:pStyle w:val="Prrafodelista"/>
        <w:ind w:left="1815"/>
        <w:jc w:val="both"/>
      </w:pPr>
      <w:proofErr w:type="spellStart"/>
      <w:r w:rsidRPr="00DA3846">
        <w:t>Cistinuria</w:t>
      </w:r>
      <w:proofErr w:type="spellEnd"/>
      <w:r w:rsidRPr="00DA3846">
        <w:t>, a dosis acordes a los niveles urinarios</w:t>
      </w:r>
    </w:p>
    <w:p w:rsidR="008D2C43" w:rsidRPr="008D2C43" w:rsidRDefault="008D2C43" w:rsidP="008D2C43">
      <w:pPr>
        <w:tabs>
          <w:tab w:val="left" w:pos="1161"/>
        </w:tabs>
        <w:ind w:left="50"/>
        <w:rPr>
          <w:rFonts w:cs="Arial"/>
          <w:b/>
          <w:bCs/>
          <w:i/>
          <w:color w:val="00B050"/>
        </w:rPr>
      </w:pPr>
      <w:r w:rsidRPr="008D2C43">
        <w:rPr>
          <w:rFonts w:cs="Arial"/>
          <w:b/>
          <w:i/>
          <w:color w:val="00B050"/>
        </w:rPr>
        <w:t>M03</w:t>
      </w:r>
      <w:r w:rsidRPr="008D2C43">
        <w:rPr>
          <w:rFonts w:cs="Arial"/>
          <w:b/>
          <w:i/>
          <w:color w:val="00B050"/>
        </w:rPr>
        <w:tab/>
      </w:r>
      <w:r w:rsidRPr="008D2C43">
        <w:rPr>
          <w:rFonts w:cs="Arial"/>
          <w:b/>
          <w:bCs/>
          <w:i/>
          <w:color w:val="00B050"/>
        </w:rPr>
        <w:t>RELAJANTES MUSCULARES</w:t>
      </w:r>
    </w:p>
    <w:p w:rsidR="008D2C43" w:rsidRPr="008D2C43" w:rsidRDefault="008D2C43" w:rsidP="008D2C43">
      <w:pPr>
        <w:tabs>
          <w:tab w:val="left" w:pos="1161"/>
        </w:tabs>
        <w:ind w:left="50"/>
        <w:rPr>
          <w:rFonts w:cs="Arial"/>
          <w:b/>
          <w:i/>
          <w:color w:val="00B050"/>
        </w:rPr>
      </w:pPr>
      <w:r w:rsidRPr="008D2C43">
        <w:rPr>
          <w:rFonts w:cs="Arial"/>
          <w:b/>
          <w:i/>
          <w:color w:val="00B050"/>
        </w:rPr>
        <w:t>M03BX</w:t>
      </w:r>
      <w:r w:rsidRPr="008D2C43">
        <w:rPr>
          <w:rFonts w:cs="Arial"/>
          <w:b/>
          <w:i/>
          <w:color w:val="00B050"/>
        </w:rPr>
        <w:tab/>
        <w:t>AGENTES DE ACCION CENTRAL</w:t>
      </w:r>
    </w:p>
    <w:p w:rsidR="008D2C43" w:rsidRPr="008D2C43" w:rsidRDefault="008D2C43" w:rsidP="008D2C43">
      <w:pPr>
        <w:tabs>
          <w:tab w:val="left" w:pos="1161"/>
        </w:tabs>
        <w:ind w:left="50"/>
        <w:rPr>
          <w:rFonts w:cs="Arial"/>
          <w:b/>
          <w:i/>
          <w:color w:val="00B050"/>
        </w:rPr>
      </w:pPr>
      <w:r w:rsidRPr="008D2C43">
        <w:rPr>
          <w:rFonts w:cs="Arial"/>
          <w:b/>
          <w:i/>
          <w:color w:val="00B050"/>
        </w:rPr>
        <w:t>M03BX01</w:t>
      </w:r>
      <w:r w:rsidRPr="008D2C43">
        <w:rPr>
          <w:rFonts w:cs="Arial"/>
          <w:b/>
          <w:i/>
          <w:color w:val="00B050"/>
        </w:rPr>
        <w:tab/>
        <w:t xml:space="preserve">BACLOFENO </w:t>
      </w:r>
    </w:p>
    <w:p w:rsidR="008D2C43" w:rsidRPr="008D2C43" w:rsidRDefault="008D2C43" w:rsidP="00396EBC">
      <w:pPr>
        <w:numPr>
          <w:ilvl w:val="0"/>
          <w:numId w:val="77"/>
        </w:numPr>
        <w:spacing w:after="0" w:line="240" w:lineRule="auto"/>
        <w:jc w:val="both"/>
        <w:rPr>
          <w:rFonts w:cs="Arial"/>
        </w:rPr>
      </w:pPr>
      <w:r w:rsidRPr="008D2C43">
        <w:rPr>
          <w:rFonts w:cs="Arial"/>
        </w:rPr>
        <w:t>Parálisis espástica originada en procesos que afectan la médula espinal. Dosis: 5-10 mg cada 8 horas por vía oral; máxima: 80 mg/día.</w:t>
      </w:r>
    </w:p>
    <w:p w:rsidR="008D2C43" w:rsidRPr="008D2C43" w:rsidRDefault="008D2C43" w:rsidP="00396EBC">
      <w:pPr>
        <w:numPr>
          <w:ilvl w:val="0"/>
          <w:numId w:val="77"/>
        </w:numPr>
        <w:spacing w:after="0" w:line="240" w:lineRule="auto"/>
        <w:jc w:val="both"/>
        <w:rPr>
          <w:rFonts w:cs="Arial"/>
        </w:rPr>
      </w:pPr>
      <w:r w:rsidRPr="008D2C43">
        <w:rPr>
          <w:rFonts w:cs="Arial"/>
        </w:rPr>
        <w:t>Espasticidad muscular asociada a esclerosis múltiple y lesiones espinales. Dosis: 5-10 mg cada 8 horas por vía oral; máxima: 80 mg/día.</w:t>
      </w:r>
    </w:p>
    <w:p w:rsidR="008D2C43" w:rsidRPr="008D2C43" w:rsidRDefault="008D2C43" w:rsidP="00396EBC">
      <w:pPr>
        <w:numPr>
          <w:ilvl w:val="0"/>
          <w:numId w:val="77"/>
        </w:numPr>
        <w:spacing w:after="0" w:line="240" w:lineRule="auto"/>
        <w:jc w:val="both"/>
        <w:rPr>
          <w:rFonts w:cs="Arial"/>
        </w:rPr>
      </w:pPr>
      <w:r w:rsidRPr="008D2C43">
        <w:rPr>
          <w:rFonts w:cs="Arial"/>
        </w:rPr>
        <w:t xml:space="preserve">Uso </w:t>
      </w:r>
      <w:proofErr w:type="spellStart"/>
      <w:r w:rsidRPr="008D2C43">
        <w:rPr>
          <w:rFonts w:cs="Arial"/>
        </w:rPr>
        <w:t>intratecal</w:t>
      </w:r>
      <w:proofErr w:type="spellEnd"/>
      <w:r w:rsidRPr="008D2C43">
        <w:rPr>
          <w:rFonts w:cs="Arial"/>
        </w:rPr>
        <w:t xml:space="preserve"> en la espasticidad que acompaña la parálisis cerebral.</w:t>
      </w:r>
    </w:p>
    <w:p w:rsidR="00AF4136" w:rsidRPr="00B1108B" w:rsidRDefault="00AF4136" w:rsidP="00AF4136">
      <w:pPr>
        <w:tabs>
          <w:tab w:val="left" w:pos="1320"/>
        </w:tabs>
        <w:ind w:left="113"/>
        <w:rPr>
          <w:rFonts w:ascii="Verdana" w:hAnsi="Verdana" w:cs="Arial"/>
        </w:rPr>
      </w:pPr>
    </w:p>
    <w:p w:rsidR="00AF4136" w:rsidRPr="00AF4136" w:rsidRDefault="00AF4136" w:rsidP="00AF4136">
      <w:pPr>
        <w:tabs>
          <w:tab w:val="left" w:pos="1320"/>
        </w:tabs>
        <w:ind w:left="113"/>
        <w:rPr>
          <w:rFonts w:cs="Arial"/>
          <w:b/>
          <w:i/>
          <w:color w:val="00B050"/>
        </w:rPr>
      </w:pPr>
      <w:r w:rsidRPr="00AF4136">
        <w:rPr>
          <w:rFonts w:cs="Arial"/>
          <w:b/>
          <w:i/>
          <w:color w:val="00B050"/>
        </w:rPr>
        <w:t>M05B</w:t>
      </w:r>
      <w:r w:rsidRPr="00AF4136">
        <w:rPr>
          <w:rFonts w:cs="Arial"/>
          <w:b/>
          <w:i/>
          <w:color w:val="00B050"/>
        </w:rPr>
        <w:tab/>
        <w:t>DROGAS QUE AFECTAN LA MINERALIZACION</w:t>
      </w:r>
    </w:p>
    <w:p w:rsidR="00AF4136" w:rsidRPr="00AF4136" w:rsidRDefault="00AF4136" w:rsidP="00AF4136">
      <w:pPr>
        <w:tabs>
          <w:tab w:val="left" w:pos="1320"/>
        </w:tabs>
        <w:ind w:left="113"/>
        <w:rPr>
          <w:rFonts w:cs="Arial"/>
        </w:rPr>
      </w:pPr>
      <w:r w:rsidRPr="00AF4136">
        <w:rPr>
          <w:rFonts w:cs="Arial"/>
          <w:b/>
          <w:i/>
          <w:color w:val="00B050"/>
        </w:rPr>
        <w:t>M05BA</w:t>
      </w:r>
      <w:r w:rsidRPr="00AF4136">
        <w:rPr>
          <w:rFonts w:cs="Arial"/>
          <w:b/>
          <w:i/>
          <w:color w:val="00B050"/>
        </w:rPr>
        <w:tab/>
        <w:t>BIFOSFONATOS</w:t>
      </w:r>
      <w:r w:rsidRPr="00AF4136">
        <w:rPr>
          <w:rFonts w:cs="Arial"/>
          <w:color w:val="00B050"/>
        </w:rPr>
        <w:t xml:space="preserve"> </w:t>
      </w:r>
    </w:p>
    <w:p w:rsidR="00AF4136" w:rsidRPr="00AF4136" w:rsidRDefault="00AF4136" w:rsidP="00AF4136">
      <w:pPr>
        <w:tabs>
          <w:tab w:val="left" w:pos="1320"/>
        </w:tabs>
        <w:ind w:left="113"/>
        <w:jc w:val="both"/>
        <w:rPr>
          <w:rFonts w:cs="HelveticaNeue-LightCond"/>
        </w:rPr>
      </w:pPr>
      <w:r w:rsidRPr="00AF4136">
        <w:rPr>
          <w:rFonts w:cs="HelveticaNeue-LightCond"/>
        </w:rPr>
        <w:t xml:space="preserve">En los ensayos clínicos, de corto plazo los </w:t>
      </w:r>
      <w:proofErr w:type="spellStart"/>
      <w:r w:rsidRPr="00AF4136">
        <w:rPr>
          <w:rFonts w:cs="HelveticaNeue-LightCond"/>
        </w:rPr>
        <w:t>bisfosfonatos</w:t>
      </w:r>
      <w:proofErr w:type="spellEnd"/>
      <w:r w:rsidRPr="00AF4136">
        <w:rPr>
          <w:rFonts w:cs="HelveticaNeue-LightCond"/>
        </w:rPr>
        <w:t xml:space="preserve"> presentan eficacia modesta en la prevención de fracturas vertebrales radiológicas. </w:t>
      </w:r>
    </w:p>
    <w:p w:rsidR="00AF4136" w:rsidRPr="00AF4136" w:rsidRDefault="00AF4136" w:rsidP="00AF4136">
      <w:pPr>
        <w:tabs>
          <w:tab w:val="left" w:pos="1320"/>
        </w:tabs>
        <w:ind w:left="113"/>
        <w:jc w:val="both"/>
        <w:rPr>
          <w:rFonts w:cs="HelveticaNeue-LightCond"/>
        </w:rPr>
      </w:pPr>
      <w:r w:rsidRPr="00AF4136">
        <w:rPr>
          <w:rFonts w:cs="HelveticaNeue-LightCond"/>
        </w:rPr>
        <w:t xml:space="preserve">Recientes revisiones sobre eficacia clínica y seguridad a largo plazo ponen en severa cuestión el valor terapéutico real del grupo. </w:t>
      </w:r>
    </w:p>
    <w:p w:rsidR="00AF4136" w:rsidRPr="00AF4136" w:rsidRDefault="00AF4136" w:rsidP="00AF4136">
      <w:pPr>
        <w:tabs>
          <w:tab w:val="left" w:pos="1320"/>
        </w:tabs>
        <w:ind w:left="113"/>
        <w:jc w:val="both"/>
        <w:rPr>
          <w:rFonts w:cs="HelveticaNeue-LightCond"/>
        </w:rPr>
      </w:pPr>
      <w:r w:rsidRPr="00AF4136">
        <w:rPr>
          <w:rFonts w:cs="HelveticaNeue-LightCond"/>
        </w:rPr>
        <w:t xml:space="preserve">Su eficacia en cadera es muy dudosa. En caso de que existiera algún beneficio, sería de escasa o nula relevancia clínica. </w:t>
      </w:r>
    </w:p>
    <w:p w:rsidR="00AF4136" w:rsidRPr="00AF4136" w:rsidRDefault="00AF4136" w:rsidP="00AF4136">
      <w:pPr>
        <w:tabs>
          <w:tab w:val="left" w:pos="1320"/>
        </w:tabs>
        <w:ind w:left="113"/>
        <w:jc w:val="both"/>
        <w:rPr>
          <w:rFonts w:cs="HelveticaNeue-LightCond"/>
        </w:rPr>
      </w:pPr>
      <w:r w:rsidRPr="00AF4136">
        <w:rPr>
          <w:rFonts w:cs="HelveticaNeue-LightCond"/>
        </w:rPr>
        <w:t xml:space="preserve">A largo plazo, no hay datos consistentes sobre su eficacia clínica y aumentan el riesgo de fracturas femorales atípicas de </w:t>
      </w:r>
      <w:proofErr w:type="spellStart"/>
      <w:r w:rsidRPr="00AF4136">
        <w:rPr>
          <w:rFonts w:cs="HelveticaNeue-LightCond"/>
        </w:rPr>
        <w:t>subtrocánter</w:t>
      </w:r>
      <w:proofErr w:type="spellEnd"/>
      <w:r w:rsidRPr="00AF4136">
        <w:rPr>
          <w:rFonts w:cs="HelveticaNeue-LightCond"/>
        </w:rPr>
        <w:t xml:space="preserve"> y diáfisis. También podrían aumentar el riesgo de fractura de cadera en vez de disminuirlo. </w:t>
      </w:r>
    </w:p>
    <w:p w:rsidR="00AF4136" w:rsidRPr="00AF4136" w:rsidRDefault="00AF4136" w:rsidP="00AF4136">
      <w:pPr>
        <w:tabs>
          <w:tab w:val="left" w:pos="1320"/>
        </w:tabs>
        <w:ind w:left="113"/>
        <w:jc w:val="both"/>
        <w:rPr>
          <w:rFonts w:cs="HelveticaNeue-LightCond"/>
        </w:rPr>
      </w:pPr>
      <w:r w:rsidRPr="00AF4136">
        <w:rPr>
          <w:rFonts w:cs="HelveticaNeue-LightCond"/>
        </w:rPr>
        <w:t xml:space="preserve">Conviene aclarar la utilidad real de los </w:t>
      </w:r>
      <w:proofErr w:type="spellStart"/>
      <w:r w:rsidRPr="00AF4136">
        <w:rPr>
          <w:rFonts w:cs="HelveticaNeue-LightCond"/>
        </w:rPr>
        <w:t>bisfosfonatos</w:t>
      </w:r>
      <w:proofErr w:type="spellEnd"/>
      <w:r w:rsidRPr="00AF4136">
        <w:rPr>
          <w:rFonts w:cs="HelveticaNeue-LightCond"/>
        </w:rPr>
        <w:t xml:space="preserve"> a largo plazo y evaluar la posibilidad de dejar de usarlos para la osteoporosis en un futuro no muy lejano. </w:t>
      </w:r>
    </w:p>
    <w:p w:rsidR="00AF4136" w:rsidRPr="00AF4136" w:rsidRDefault="00AF4136" w:rsidP="00AF4136">
      <w:pPr>
        <w:tabs>
          <w:tab w:val="left" w:pos="1320"/>
        </w:tabs>
        <w:ind w:left="113"/>
        <w:jc w:val="both"/>
        <w:rPr>
          <w:rFonts w:cs="Arial"/>
        </w:rPr>
      </w:pPr>
      <w:r w:rsidRPr="00AF4136">
        <w:rPr>
          <w:rFonts w:cs="HelveticaNeue-LightCond"/>
        </w:rPr>
        <w:t xml:space="preserve">La </w:t>
      </w:r>
      <w:proofErr w:type="spellStart"/>
      <w:r w:rsidRPr="00AF4136">
        <w:rPr>
          <w:rFonts w:cs="HelveticaNeue-LightCond"/>
        </w:rPr>
        <w:t>osteonecrosis</w:t>
      </w:r>
      <w:proofErr w:type="spellEnd"/>
      <w:r w:rsidRPr="00AF4136">
        <w:rPr>
          <w:rFonts w:cs="HelveticaNeue-LightCond"/>
        </w:rPr>
        <w:t xml:space="preserve"> de maxilares es una complicación grave del tratamiento con </w:t>
      </w:r>
      <w:proofErr w:type="spellStart"/>
      <w:r w:rsidRPr="00AF4136">
        <w:rPr>
          <w:rFonts w:cs="HelveticaNeue-LightCond"/>
        </w:rPr>
        <w:t>bifosfonatos</w:t>
      </w:r>
      <w:proofErr w:type="spellEnd"/>
      <w:r w:rsidRPr="00AF4136">
        <w:rPr>
          <w:rFonts w:cs="HelveticaNeue-LightCond"/>
        </w:rPr>
        <w:t xml:space="preserve">, de aparición más rápida con los de uso EV pero documentada también con los </w:t>
      </w:r>
      <w:proofErr w:type="spellStart"/>
      <w:r w:rsidRPr="00AF4136">
        <w:rPr>
          <w:rFonts w:cs="HelveticaNeue-LightCond"/>
        </w:rPr>
        <w:t>bifosfonatos</w:t>
      </w:r>
      <w:proofErr w:type="spellEnd"/>
      <w:r w:rsidRPr="00AF4136">
        <w:rPr>
          <w:rFonts w:cs="HelveticaNeue-LightCond"/>
        </w:rPr>
        <w:t xml:space="preserve"> de uso oral a largo plazo. </w:t>
      </w:r>
    </w:p>
    <w:p w:rsidR="00AF4136" w:rsidRPr="00AF4136" w:rsidRDefault="00AF4136" w:rsidP="00AF4136">
      <w:pPr>
        <w:tabs>
          <w:tab w:val="left" w:pos="1320"/>
        </w:tabs>
        <w:ind w:left="113"/>
        <w:jc w:val="both"/>
        <w:rPr>
          <w:rFonts w:cs="Arial"/>
          <w:b/>
          <w:i/>
          <w:color w:val="00B050"/>
        </w:rPr>
      </w:pPr>
    </w:p>
    <w:p w:rsidR="00AF4136" w:rsidRPr="00AF4136" w:rsidRDefault="00AF4136" w:rsidP="00AF4136">
      <w:pPr>
        <w:tabs>
          <w:tab w:val="left" w:pos="1320"/>
        </w:tabs>
        <w:ind w:left="113"/>
        <w:rPr>
          <w:rFonts w:cs="Arial"/>
          <w:b/>
          <w:i/>
          <w:color w:val="00B050"/>
        </w:rPr>
      </w:pPr>
      <w:r w:rsidRPr="00AF4136">
        <w:rPr>
          <w:rFonts w:cs="Arial"/>
          <w:b/>
          <w:i/>
          <w:color w:val="00B050"/>
        </w:rPr>
        <w:t>M05BA03</w:t>
      </w:r>
      <w:r w:rsidRPr="00AF4136">
        <w:rPr>
          <w:rFonts w:cs="Arial"/>
          <w:b/>
          <w:i/>
          <w:color w:val="00B050"/>
        </w:rPr>
        <w:tab/>
        <w:t>PAMIDRONATO DISODICO</w:t>
      </w:r>
    </w:p>
    <w:p w:rsidR="00AF4136" w:rsidRPr="00AF4136" w:rsidRDefault="00AF4136" w:rsidP="00396EBC">
      <w:pPr>
        <w:numPr>
          <w:ilvl w:val="0"/>
          <w:numId w:val="59"/>
        </w:numPr>
        <w:spacing w:after="0" w:line="240" w:lineRule="auto"/>
        <w:jc w:val="both"/>
        <w:rPr>
          <w:snapToGrid w:val="0"/>
        </w:rPr>
      </w:pPr>
      <w:r w:rsidRPr="00AF4136">
        <w:rPr>
          <w:snapToGrid w:val="0"/>
        </w:rPr>
        <w:lastRenderedPageBreak/>
        <w:t xml:space="preserve">Enfermedad de </w:t>
      </w:r>
      <w:proofErr w:type="spellStart"/>
      <w:r w:rsidRPr="00AF4136">
        <w:rPr>
          <w:snapToGrid w:val="0"/>
        </w:rPr>
        <w:t>Paget</w:t>
      </w:r>
      <w:proofErr w:type="spellEnd"/>
      <w:r w:rsidRPr="00AF4136">
        <w:rPr>
          <w:snapToGrid w:val="0"/>
        </w:rPr>
        <w:t>. Dosis: 30 mg/día por vía oral.</w:t>
      </w:r>
    </w:p>
    <w:p w:rsidR="00AF4136" w:rsidRPr="00AF4136" w:rsidRDefault="00AF4136" w:rsidP="00396EBC">
      <w:pPr>
        <w:numPr>
          <w:ilvl w:val="0"/>
          <w:numId w:val="59"/>
        </w:numPr>
        <w:spacing w:after="0" w:line="240" w:lineRule="auto"/>
        <w:jc w:val="both"/>
        <w:rPr>
          <w:snapToGrid w:val="0"/>
        </w:rPr>
      </w:pPr>
      <w:r w:rsidRPr="00AF4136">
        <w:rPr>
          <w:snapToGrid w:val="0"/>
        </w:rPr>
        <w:t xml:space="preserve">Lesiones </w:t>
      </w:r>
      <w:proofErr w:type="spellStart"/>
      <w:r w:rsidRPr="00AF4136">
        <w:rPr>
          <w:snapToGrid w:val="0"/>
        </w:rPr>
        <w:t>osteolíticas</w:t>
      </w:r>
      <w:proofErr w:type="spellEnd"/>
      <w:r w:rsidRPr="00AF4136">
        <w:rPr>
          <w:snapToGrid w:val="0"/>
        </w:rPr>
        <w:t xml:space="preserve"> en pacientes afectados de Mieloma Múltiple.</w:t>
      </w:r>
    </w:p>
    <w:p w:rsidR="00AF4136" w:rsidRPr="00AF4136" w:rsidRDefault="00AF4136" w:rsidP="00396EBC">
      <w:pPr>
        <w:numPr>
          <w:ilvl w:val="0"/>
          <w:numId w:val="59"/>
        </w:numPr>
        <w:spacing w:after="0" w:line="240" w:lineRule="auto"/>
        <w:jc w:val="both"/>
        <w:rPr>
          <w:snapToGrid w:val="0"/>
        </w:rPr>
      </w:pPr>
      <w:r w:rsidRPr="00AF4136">
        <w:rPr>
          <w:snapToGrid w:val="0"/>
        </w:rPr>
        <w:t xml:space="preserve">Tratamiento de metástasis </w:t>
      </w:r>
      <w:proofErr w:type="spellStart"/>
      <w:r w:rsidRPr="00AF4136">
        <w:rPr>
          <w:snapToGrid w:val="0"/>
        </w:rPr>
        <w:t>osteolíticas</w:t>
      </w:r>
      <w:proofErr w:type="spellEnd"/>
      <w:r w:rsidRPr="00AF4136">
        <w:rPr>
          <w:snapToGrid w:val="0"/>
        </w:rPr>
        <w:t xml:space="preserve"> en pacientes con cáncer de mama bajo tratamiento </w:t>
      </w:r>
      <w:proofErr w:type="spellStart"/>
      <w:r w:rsidRPr="00AF4136">
        <w:rPr>
          <w:snapToGrid w:val="0"/>
        </w:rPr>
        <w:t>quimioterápico</w:t>
      </w:r>
      <w:proofErr w:type="spellEnd"/>
      <w:r w:rsidRPr="00AF4136">
        <w:rPr>
          <w:snapToGrid w:val="0"/>
        </w:rPr>
        <w:t xml:space="preserve"> estándar. Dosis: 90 mg/dosis en infusión EV a pasar en 2-4 horas.</w:t>
      </w:r>
    </w:p>
    <w:p w:rsidR="00AF4136" w:rsidRPr="00AF4136" w:rsidRDefault="00AF4136" w:rsidP="00396EBC">
      <w:pPr>
        <w:numPr>
          <w:ilvl w:val="0"/>
          <w:numId w:val="59"/>
        </w:numPr>
        <w:spacing w:after="0" w:line="240" w:lineRule="auto"/>
        <w:jc w:val="both"/>
        <w:rPr>
          <w:snapToGrid w:val="0"/>
        </w:rPr>
      </w:pPr>
      <w:r w:rsidRPr="00AF4136">
        <w:rPr>
          <w:snapToGrid w:val="0"/>
        </w:rPr>
        <w:t>Hipercalcemia moderada  asociada a neoplasias. Dosis: 90 mg/dosis en infusión EV a pasar en 2-4 horas.</w:t>
      </w:r>
    </w:p>
    <w:p w:rsidR="00AF4136" w:rsidRPr="00AF4136" w:rsidRDefault="00AF4136" w:rsidP="00AF4136">
      <w:pPr>
        <w:tabs>
          <w:tab w:val="left" w:pos="1320"/>
        </w:tabs>
        <w:ind w:left="113"/>
        <w:rPr>
          <w:rFonts w:cs="Arial"/>
          <w:b/>
          <w:i/>
          <w:color w:val="00B050"/>
        </w:rPr>
      </w:pPr>
    </w:p>
    <w:p w:rsidR="00AF4136" w:rsidRPr="00AF4136" w:rsidRDefault="00AF4136" w:rsidP="00AF4136">
      <w:pPr>
        <w:tabs>
          <w:tab w:val="left" w:pos="1320"/>
        </w:tabs>
        <w:ind w:left="113"/>
        <w:rPr>
          <w:rFonts w:cs="Arial"/>
          <w:b/>
          <w:i/>
          <w:color w:val="00B050"/>
        </w:rPr>
      </w:pPr>
      <w:r w:rsidRPr="00AF4136">
        <w:rPr>
          <w:rFonts w:cs="Arial"/>
          <w:b/>
          <w:i/>
          <w:color w:val="00B050"/>
        </w:rPr>
        <w:t>M05BA04</w:t>
      </w:r>
      <w:r w:rsidRPr="00AF4136">
        <w:rPr>
          <w:rFonts w:cs="Arial"/>
          <w:b/>
          <w:i/>
          <w:color w:val="00B050"/>
        </w:rPr>
        <w:tab/>
        <w:t xml:space="preserve">ALENDRONATO </w:t>
      </w:r>
    </w:p>
    <w:p w:rsidR="00AF4136" w:rsidRPr="00AF4136" w:rsidRDefault="00AF4136" w:rsidP="00396EBC">
      <w:pPr>
        <w:numPr>
          <w:ilvl w:val="0"/>
          <w:numId w:val="60"/>
        </w:numPr>
        <w:spacing w:after="0" w:line="240" w:lineRule="auto"/>
        <w:jc w:val="both"/>
        <w:rPr>
          <w:snapToGrid w:val="0"/>
        </w:rPr>
      </w:pPr>
      <w:r w:rsidRPr="00AF4136">
        <w:rPr>
          <w:snapToGrid w:val="0"/>
        </w:rPr>
        <w:t xml:space="preserve">Pacientes con osteoporosis posmenopáusica establecida, de acuerdo a densitometría ósea convencional y antecedentes de fracturas o </w:t>
      </w:r>
      <w:proofErr w:type="spellStart"/>
      <w:r w:rsidRPr="00AF4136">
        <w:rPr>
          <w:snapToGrid w:val="0"/>
        </w:rPr>
        <w:t>microfracturas</w:t>
      </w:r>
      <w:proofErr w:type="spellEnd"/>
      <w:r w:rsidRPr="00AF4136">
        <w:rPr>
          <w:snapToGrid w:val="0"/>
        </w:rPr>
        <w:t>. Dosis: 70 mg semanales por vía oral.</w:t>
      </w:r>
    </w:p>
    <w:p w:rsidR="00AF4136" w:rsidRPr="00AF4136" w:rsidRDefault="00AF4136" w:rsidP="00396EBC">
      <w:pPr>
        <w:numPr>
          <w:ilvl w:val="0"/>
          <w:numId w:val="60"/>
        </w:numPr>
        <w:spacing w:after="0" w:line="240" w:lineRule="auto"/>
        <w:jc w:val="both"/>
        <w:rPr>
          <w:snapToGrid w:val="0"/>
        </w:rPr>
      </w:pPr>
      <w:r w:rsidRPr="00AF4136">
        <w:rPr>
          <w:snapToGrid w:val="0"/>
        </w:rPr>
        <w:t xml:space="preserve">Pacientes con enfermedad de </w:t>
      </w:r>
      <w:proofErr w:type="spellStart"/>
      <w:r w:rsidRPr="00AF4136">
        <w:rPr>
          <w:snapToGrid w:val="0"/>
        </w:rPr>
        <w:t>Paget</w:t>
      </w:r>
      <w:proofErr w:type="spellEnd"/>
      <w:r w:rsidRPr="00AF4136">
        <w:rPr>
          <w:snapToGrid w:val="0"/>
        </w:rPr>
        <w:t>. Dosis: 40 mg/día por vía oral.</w:t>
      </w:r>
    </w:p>
    <w:p w:rsidR="00AF4136" w:rsidRPr="00AF4136" w:rsidRDefault="00AF4136" w:rsidP="00396EBC">
      <w:pPr>
        <w:numPr>
          <w:ilvl w:val="0"/>
          <w:numId w:val="60"/>
        </w:numPr>
        <w:spacing w:after="0" w:line="240" w:lineRule="auto"/>
        <w:jc w:val="both"/>
        <w:rPr>
          <w:snapToGrid w:val="0"/>
        </w:rPr>
      </w:pPr>
      <w:r w:rsidRPr="00AF4136">
        <w:rPr>
          <w:snapToGrid w:val="0"/>
        </w:rPr>
        <w:t>Prevención y/o tratamiento de la osteoporosis secundaria inducida por glucocorticoides. Dosis: 5-10 mg/día por vía oral.</w:t>
      </w:r>
    </w:p>
    <w:p w:rsidR="00AF4136" w:rsidRDefault="00AF4136" w:rsidP="00AF4136">
      <w:pPr>
        <w:pStyle w:val="Prrafodelista"/>
        <w:ind w:left="1440"/>
        <w:jc w:val="both"/>
      </w:pPr>
    </w:p>
    <w:p w:rsidR="008D2C43" w:rsidRPr="008D2C43" w:rsidRDefault="008D2C43" w:rsidP="008D2C43">
      <w:pPr>
        <w:tabs>
          <w:tab w:val="left" w:pos="1320"/>
        </w:tabs>
        <w:ind w:left="113"/>
        <w:rPr>
          <w:rFonts w:cs="Arial"/>
          <w:b/>
          <w:i/>
          <w:color w:val="00B050"/>
        </w:rPr>
      </w:pPr>
      <w:r w:rsidRPr="008D2C43">
        <w:rPr>
          <w:rFonts w:cs="Arial"/>
          <w:b/>
          <w:i/>
          <w:color w:val="00B050"/>
        </w:rPr>
        <w:t>M05BA06</w:t>
      </w:r>
      <w:r w:rsidRPr="008D2C43">
        <w:rPr>
          <w:rFonts w:cs="Arial"/>
          <w:b/>
          <w:i/>
          <w:color w:val="00B050"/>
        </w:rPr>
        <w:tab/>
        <w:t>IBANDRONATO</w:t>
      </w:r>
    </w:p>
    <w:p w:rsidR="008D2C43" w:rsidRPr="008D2C43" w:rsidRDefault="008D2C43" w:rsidP="00396EBC">
      <w:pPr>
        <w:numPr>
          <w:ilvl w:val="0"/>
          <w:numId w:val="60"/>
        </w:numPr>
        <w:spacing w:after="0" w:line="240" w:lineRule="auto"/>
        <w:jc w:val="both"/>
        <w:rPr>
          <w:snapToGrid w:val="0"/>
        </w:rPr>
      </w:pPr>
      <w:r w:rsidRPr="008D2C43">
        <w:rPr>
          <w:snapToGrid w:val="0"/>
        </w:rPr>
        <w:t xml:space="preserve">Pacientes con osteoporosis posmenopáusica establecida, de acuerdo a densitometría ósea convencional y antecedentes de fracturas o </w:t>
      </w:r>
      <w:proofErr w:type="spellStart"/>
      <w:r w:rsidRPr="008D2C43">
        <w:rPr>
          <w:snapToGrid w:val="0"/>
        </w:rPr>
        <w:t>microfracturas</w:t>
      </w:r>
      <w:proofErr w:type="spellEnd"/>
      <w:r w:rsidRPr="008D2C43">
        <w:rPr>
          <w:snapToGrid w:val="0"/>
        </w:rPr>
        <w:t>. Dosis: 150 mg administrados en dosis mensual única por vía oral.</w:t>
      </w:r>
    </w:p>
    <w:p w:rsidR="008D2C43" w:rsidRPr="00B1108B" w:rsidRDefault="008D2C43" w:rsidP="008D2C43">
      <w:pPr>
        <w:tabs>
          <w:tab w:val="left" w:pos="1161"/>
        </w:tabs>
        <w:ind w:left="50"/>
        <w:rPr>
          <w:rFonts w:ascii="Verdana" w:hAnsi="Verdana" w:cs="Arial"/>
        </w:rPr>
      </w:pPr>
    </w:p>
    <w:p w:rsidR="000B4FEA" w:rsidRPr="000B4FEA" w:rsidRDefault="000B4FEA" w:rsidP="000B4FEA">
      <w:pPr>
        <w:tabs>
          <w:tab w:val="left" w:pos="1320"/>
        </w:tabs>
        <w:ind w:left="113"/>
        <w:rPr>
          <w:rFonts w:cs="Arial"/>
          <w:b/>
          <w:i/>
          <w:color w:val="00B050"/>
        </w:rPr>
      </w:pPr>
      <w:r w:rsidRPr="000B4FEA">
        <w:rPr>
          <w:rFonts w:cs="Arial"/>
          <w:b/>
          <w:i/>
          <w:color w:val="00B050"/>
        </w:rPr>
        <w:t>N02A</w:t>
      </w:r>
      <w:r w:rsidRPr="000B4FEA">
        <w:rPr>
          <w:rFonts w:cs="Arial"/>
          <w:b/>
          <w:i/>
          <w:color w:val="00B050"/>
        </w:rPr>
        <w:tab/>
        <w:t>OPIOIDES</w:t>
      </w:r>
    </w:p>
    <w:p w:rsidR="008444F2" w:rsidRPr="00AF4136" w:rsidRDefault="008444F2" w:rsidP="00400281">
      <w:pPr>
        <w:pStyle w:val="Prrafodelista"/>
        <w:ind w:left="1440"/>
        <w:jc w:val="both"/>
      </w:pPr>
    </w:p>
    <w:tbl>
      <w:tblPr>
        <w:tblW w:w="9060" w:type="dxa"/>
        <w:tblCellMar>
          <w:left w:w="70" w:type="dxa"/>
          <w:right w:w="70" w:type="dxa"/>
        </w:tblCellMar>
        <w:tblLook w:val="04A0" w:firstRow="1" w:lastRow="0" w:firstColumn="1" w:lastColumn="0" w:noHBand="0" w:noVBand="1"/>
      </w:tblPr>
      <w:tblGrid>
        <w:gridCol w:w="1276"/>
        <w:gridCol w:w="7784"/>
      </w:tblGrid>
      <w:tr w:rsidR="001D7A1B" w:rsidRPr="00A402DD" w:rsidTr="005653D6">
        <w:trPr>
          <w:trHeight w:val="300"/>
        </w:trPr>
        <w:tc>
          <w:tcPr>
            <w:tcW w:w="1276" w:type="dxa"/>
            <w:tcBorders>
              <w:top w:val="nil"/>
              <w:left w:val="nil"/>
              <w:bottom w:val="nil"/>
              <w:right w:val="nil"/>
            </w:tcBorders>
            <w:shd w:val="clear" w:color="auto" w:fill="auto"/>
            <w:noWrap/>
            <w:vAlign w:val="bottom"/>
            <w:hideMark/>
          </w:tcPr>
          <w:p w:rsidR="001D7A1B" w:rsidRPr="00C06B48" w:rsidRDefault="001D7A1B" w:rsidP="003D2229">
            <w:pPr>
              <w:spacing w:after="0" w:line="240" w:lineRule="auto"/>
              <w:rPr>
                <w:b/>
                <w:i/>
                <w:color w:val="00B050"/>
              </w:rPr>
            </w:pPr>
            <w:r w:rsidRPr="00C06B48">
              <w:rPr>
                <w:b/>
                <w:i/>
                <w:color w:val="00B050"/>
              </w:rPr>
              <w:t>N02AA01.A</w:t>
            </w:r>
          </w:p>
        </w:tc>
        <w:tc>
          <w:tcPr>
            <w:tcW w:w="7784" w:type="dxa"/>
            <w:tcBorders>
              <w:top w:val="nil"/>
              <w:left w:val="nil"/>
              <w:bottom w:val="nil"/>
              <w:right w:val="nil"/>
            </w:tcBorders>
            <w:shd w:val="clear" w:color="auto" w:fill="auto"/>
            <w:noWrap/>
            <w:vAlign w:val="center"/>
            <w:hideMark/>
          </w:tcPr>
          <w:p w:rsidR="001D7A1B" w:rsidRPr="00C06B48" w:rsidRDefault="001D7A1B" w:rsidP="003D2229">
            <w:pPr>
              <w:spacing w:after="0" w:line="240" w:lineRule="auto"/>
              <w:rPr>
                <w:b/>
                <w:i/>
                <w:color w:val="00B050"/>
              </w:rPr>
            </w:pPr>
            <w:r w:rsidRPr="00C06B48">
              <w:rPr>
                <w:b/>
                <w:i/>
                <w:color w:val="00B050"/>
              </w:rPr>
              <w:t>MORFINA CLORHIDRATO inyectable, supos y oral 60 mg</w:t>
            </w:r>
          </w:p>
        </w:tc>
      </w:tr>
      <w:tr w:rsidR="001D7A1B" w:rsidRPr="00737917" w:rsidTr="005653D6">
        <w:trPr>
          <w:trHeight w:val="300"/>
        </w:trPr>
        <w:tc>
          <w:tcPr>
            <w:tcW w:w="1276" w:type="dxa"/>
            <w:tcBorders>
              <w:top w:val="nil"/>
              <w:left w:val="nil"/>
              <w:bottom w:val="nil"/>
              <w:right w:val="nil"/>
            </w:tcBorders>
            <w:shd w:val="clear" w:color="auto" w:fill="auto"/>
            <w:noWrap/>
            <w:vAlign w:val="bottom"/>
            <w:hideMark/>
          </w:tcPr>
          <w:p w:rsidR="001D7A1B" w:rsidRPr="00C06B48" w:rsidRDefault="001D7A1B" w:rsidP="003D2229">
            <w:pPr>
              <w:spacing w:after="0" w:line="240" w:lineRule="auto"/>
              <w:rPr>
                <w:b/>
                <w:i/>
                <w:color w:val="00B050"/>
              </w:rPr>
            </w:pPr>
            <w:r w:rsidRPr="00C06B48">
              <w:rPr>
                <w:b/>
                <w:i/>
                <w:color w:val="00B050"/>
              </w:rPr>
              <w:t>N02AA01.B</w:t>
            </w:r>
          </w:p>
        </w:tc>
        <w:tc>
          <w:tcPr>
            <w:tcW w:w="7784" w:type="dxa"/>
            <w:tcBorders>
              <w:top w:val="nil"/>
              <w:left w:val="nil"/>
              <w:bottom w:val="nil"/>
              <w:right w:val="nil"/>
            </w:tcBorders>
            <w:shd w:val="clear" w:color="auto" w:fill="auto"/>
            <w:noWrap/>
            <w:vAlign w:val="center"/>
            <w:hideMark/>
          </w:tcPr>
          <w:p w:rsidR="001D7A1B" w:rsidRPr="00DF74BF" w:rsidRDefault="001D7A1B" w:rsidP="003D2229">
            <w:pPr>
              <w:spacing w:after="0" w:line="240" w:lineRule="auto"/>
              <w:rPr>
                <w:b/>
                <w:i/>
                <w:color w:val="00B050"/>
              </w:rPr>
            </w:pPr>
            <w:r w:rsidRPr="00C06B48">
              <w:rPr>
                <w:b/>
                <w:i/>
                <w:color w:val="00B050"/>
              </w:rPr>
              <w:t>MORFINA SULFATO inyectable y oral a partir de los 60 mg</w:t>
            </w:r>
          </w:p>
        </w:tc>
      </w:tr>
    </w:tbl>
    <w:p w:rsidR="004060FE" w:rsidRDefault="004060FE" w:rsidP="00BD4CF1">
      <w:pPr>
        <w:jc w:val="both"/>
        <w:rPr>
          <w:b/>
          <w:i/>
          <w:color w:val="00B050"/>
        </w:rPr>
      </w:pPr>
    </w:p>
    <w:p w:rsidR="007B5A01" w:rsidRDefault="00F9050B" w:rsidP="005A466E">
      <w:pPr>
        <w:pStyle w:val="Prrafodelista"/>
        <w:numPr>
          <w:ilvl w:val="0"/>
          <w:numId w:val="9"/>
        </w:numPr>
        <w:jc w:val="both"/>
      </w:pPr>
      <w:r w:rsidRPr="00400281">
        <w:t>Tratamiento de</w:t>
      </w:r>
      <w:r>
        <w:t>l</w:t>
      </w:r>
      <w:r w:rsidR="007B5A01">
        <w:t xml:space="preserve"> </w:t>
      </w:r>
      <w:r w:rsidR="007B5A01" w:rsidRPr="00F9050B">
        <w:t xml:space="preserve">dolor crónico de tipo moderado o intenso asociado a neoplasias. </w:t>
      </w:r>
    </w:p>
    <w:p w:rsidR="00B73450" w:rsidRPr="00B73450" w:rsidRDefault="00B73450" w:rsidP="005A466E">
      <w:pPr>
        <w:pStyle w:val="Prrafodelista"/>
        <w:numPr>
          <w:ilvl w:val="0"/>
          <w:numId w:val="9"/>
        </w:numPr>
        <w:jc w:val="both"/>
      </w:pPr>
      <w:r w:rsidRPr="00B73450">
        <w:t>Tratamiento del dolor agudo postoperatorio, en pacientes externados que deben continuar tratamiento</w:t>
      </w:r>
    </w:p>
    <w:p w:rsidR="00124E26" w:rsidRDefault="007B5A01" w:rsidP="007B5A01">
      <w:pPr>
        <w:pStyle w:val="Prrafodelista"/>
        <w:ind w:left="1440"/>
        <w:jc w:val="both"/>
      </w:pPr>
      <w:r w:rsidRPr="007B5A01">
        <w:rPr>
          <w:u w:val="single"/>
        </w:rPr>
        <w:t>Dosis:</w:t>
      </w:r>
      <w:r w:rsidRPr="00F9050B">
        <w:t xml:space="preserve"> según sal y forma de administración</w:t>
      </w:r>
      <w:r w:rsidR="00124E26">
        <w:t xml:space="preserve">. </w:t>
      </w:r>
    </w:p>
    <w:p w:rsidR="00F9050B" w:rsidRDefault="00124E26" w:rsidP="007B5A01">
      <w:pPr>
        <w:pStyle w:val="Prrafodelista"/>
        <w:ind w:left="1440"/>
        <w:jc w:val="both"/>
      </w:pPr>
      <w:r>
        <w:rPr>
          <w:u w:val="single"/>
        </w:rPr>
        <w:t>Nota</w:t>
      </w:r>
      <w:r w:rsidR="00B73450">
        <w:rPr>
          <w:u w:val="single"/>
        </w:rPr>
        <w:t xml:space="preserve"> 1</w:t>
      </w:r>
      <w:r>
        <w:rPr>
          <w:u w:val="single"/>
        </w:rPr>
        <w:t>:</w:t>
      </w:r>
      <w:r w:rsidRPr="00124E26">
        <w:t xml:space="preserve"> E</w:t>
      </w:r>
      <w:r w:rsidR="007B5A01" w:rsidRPr="00124E26">
        <w:t>n</w:t>
      </w:r>
      <w:r w:rsidR="007B5A01" w:rsidRPr="00F9050B">
        <w:t xml:space="preserve"> pacientes oncológicos su preparación en jarabe y su titulación, constituyen la mejor opción por efectividad y costo</w:t>
      </w:r>
      <w:r w:rsidR="007B5A01">
        <w:t xml:space="preserve"> por ello su cobertura en </w:t>
      </w:r>
      <w:r w:rsidR="004930D8">
        <w:t>fórmula</w:t>
      </w:r>
      <w:r w:rsidR="007B5A01">
        <w:t xml:space="preserve"> </w:t>
      </w:r>
      <w:r w:rsidR="00F065D7">
        <w:t>magistral</w:t>
      </w:r>
      <w:r>
        <w:t xml:space="preserve"> resulta apropiada. </w:t>
      </w:r>
    </w:p>
    <w:p w:rsidR="00B73450" w:rsidRDefault="00B73450" w:rsidP="00B73450">
      <w:pPr>
        <w:pStyle w:val="Prrafodelista"/>
        <w:ind w:left="1440"/>
        <w:jc w:val="both"/>
      </w:pPr>
      <w:r w:rsidRPr="00B73450">
        <w:rPr>
          <w:u w:val="single"/>
        </w:rPr>
        <w:t>Nota 2</w:t>
      </w:r>
      <w:r>
        <w:rPr>
          <w:u w:val="single"/>
        </w:rPr>
        <w:t xml:space="preserve">: </w:t>
      </w:r>
      <w:r w:rsidRPr="00B73450">
        <w:t>Cuando el tratamiento con opioides, se incluya dentro de las medidas de soporte clínico del paciente oncológico y oncohematológico, la cobertura a cargo de</w:t>
      </w:r>
      <w:r w:rsidR="00A402DD">
        <w:t xml:space="preserve"> SEMPRE</w:t>
      </w:r>
      <w:r>
        <w:t xml:space="preserve"> será</w:t>
      </w:r>
      <w:r w:rsidRPr="00B73450">
        <w:t xml:space="preserve"> del 100%. </w:t>
      </w:r>
    </w:p>
    <w:p w:rsidR="006D2311" w:rsidRPr="00B73450" w:rsidRDefault="006D2311" w:rsidP="00B73450">
      <w:pPr>
        <w:pStyle w:val="Prrafodelista"/>
        <w:ind w:left="1440"/>
        <w:jc w:val="both"/>
      </w:pPr>
    </w:p>
    <w:p w:rsidR="006D2311" w:rsidRPr="006D2311" w:rsidRDefault="006D2311" w:rsidP="006D2311">
      <w:pPr>
        <w:tabs>
          <w:tab w:val="left" w:pos="1320"/>
        </w:tabs>
        <w:ind w:left="113"/>
        <w:rPr>
          <w:rFonts w:cs="Arial"/>
          <w:b/>
          <w:i/>
          <w:color w:val="00B050"/>
        </w:rPr>
      </w:pPr>
      <w:r w:rsidRPr="006D2311">
        <w:rPr>
          <w:rFonts w:cs="Arial"/>
          <w:b/>
          <w:i/>
          <w:color w:val="00B050"/>
        </w:rPr>
        <w:t>N02AC04</w:t>
      </w:r>
      <w:r w:rsidRPr="006D2311">
        <w:rPr>
          <w:rFonts w:cs="Arial"/>
          <w:b/>
          <w:i/>
          <w:color w:val="00B050"/>
        </w:rPr>
        <w:tab/>
        <w:t xml:space="preserve">DEXTROPROPOXIFENO </w:t>
      </w:r>
    </w:p>
    <w:p w:rsidR="006D2311" w:rsidRPr="006D2311" w:rsidRDefault="006D2311" w:rsidP="00396EBC">
      <w:pPr>
        <w:numPr>
          <w:ilvl w:val="1"/>
          <w:numId w:val="61"/>
        </w:numPr>
        <w:spacing w:after="0" w:line="240" w:lineRule="auto"/>
        <w:jc w:val="both"/>
        <w:rPr>
          <w:snapToGrid w:val="0"/>
        </w:rPr>
      </w:pPr>
      <w:r w:rsidRPr="006D2311">
        <w:rPr>
          <w:snapToGrid w:val="0"/>
        </w:rPr>
        <w:t xml:space="preserve">Tratamiento del dolor crónico leve </w:t>
      </w:r>
      <w:proofErr w:type="gramStart"/>
      <w:r w:rsidRPr="006D2311">
        <w:rPr>
          <w:snapToGrid w:val="0"/>
        </w:rPr>
        <w:t>a</w:t>
      </w:r>
      <w:proofErr w:type="gramEnd"/>
      <w:r w:rsidRPr="006D2311">
        <w:rPr>
          <w:snapToGrid w:val="0"/>
        </w:rPr>
        <w:t xml:space="preserve"> moderado, en los primeros escalones de la terapia paliativa. Dosis: 65 mg hasta  4 veces al día.             </w:t>
      </w:r>
    </w:p>
    <w:p w:rsidR="006D2311" w:rsidRPr="006D2311" w:rsidRDefault="006D2311" w:rsidP="006D2311">
      <w:pPr>
        <w:tabs>
          <w:tab w:val="left" w:pos="1320"/>
        </w:tabs>
        <w:ind w:left="113"/>
        <w:rPr>
          <w:rFonts w:cs="Arial"/>
        </w:rPr>
      </w:pPr>
    </w:p>
    <w:p w:rsidR="006D2311" w:rsidRPr="006D2311" w:rsidRDefault="006D2311" w:rsidP="006D2311">
      <w:pPr>
        <w:tabs>
          <w:tab w:val="left" w:pos="1320"/>
        </w:tabs>
        <w:ind w:left="113"/>
        <w:rPr>
          <w:rFonts w:cs="Arial"/>
          <w:b/>
          <w:i/>
          <w:color w:val="00B050"/>
        </w:rPr>
      </w:pPr>
      <w:r w:rsidRPr="006D2311">
        <w:rPr>
          <w:rFonts w:cs="Arial"/>
          <w:b/>
          <w:i/>
          <w:color w:val="00B050"/>
        </w:rPr>
        <w:t>N02AX</w:t>
      </w:r>
      <w:r w:rsidRPr="006D2311">
        <w:rPr>
          <w:rFonts w:cs="Arial"/>
          <w:b/>
          <w:i/>
          <w:color w:val="00B050"/>
        </w:rPr>
        <w:tab/>
        <w:t>OTROS OPIOIDES</w:t>
      </w:r>
    </w:p>
    <w:p w:rsidR="006D2311" w:rsidRPr="006D2311" w:rsidRDefault="006D2311" w:rsidP="006D2311">
      <w:pPr>
        <w:tabs>
          <w:tab w:val="left" w:pos="1320"/>
        </w:tabs>
        <w:ind w:left="113"/>
        <w:rPr>
          <w:rFonts w:cs="Arial"/>
          <w:b/>
          <w:i/>
          <w:color w:val="00B050"/>
        </w:rPr>
      </w:pPr>
      <w:r w:rsidRPr="006D2311">
        <w:rPr>
          <w:rFonts w:cs="Arial"/>
          <w:b/>
          <w:i/>
          <w:color w:val="00B050"/>
        </w:rPr>
        <w:lastRenderedPageBreak/>
        <w:t>N02AX02</w:t>
      </w:r>
      <w:r w:rsidRPr="006D2311">
        <w:rPr>
          <w:rFonts w:cs="Arial"/>
          <w:b/>
          <w:i/>
          <w:color w:val="00B050"/>
        </w:rPr>
        <w:tab/>
        <w:t xml:space="preserve">TRAMADOL CLORHIDRATO  </w:t>
      </w:r>
    </w:p>
    <w:p w:rsidR="006D2311" w:rsidRPr="006D2311" w:rsidRDefault="006D2311" w:rsidP="00396EBC">
      <w:pPr>
        <w:numPr>
          <w:ilvl w:val="1"/>
          <w:numId w:val="61"/>
        </w:numPr>
        <w:spacing w:after="0" w:line="240" w:lineRule="auto"/>
        <w:jc w:val="both"/>
        <w:rPr>
          <w:snapToGrid w:val="0"/>
        </w:rPr>
      </w:pPr>
      <w:r w:rsidRPr="006D2311">
        <w:rPr>
          <w:snapToGrid w:val="0"/>
        </w:rPr>
        <w:t>Tratamiento del dolor crónico de origen neoplásico. Dosis: 25-50 mg cada 6 horas, máxima: 400 mg/día.</w:t>
      </w:r>
    </w:p>
    <w:p w:rsidR="006D2311" w:rsidRPr="006D2311" w:rsidRDefault="006D2311" w:rsidP="006D2311">
      <w:pPr>
        <w:tabs>
          <w:tab w:val="left" w:pos="1320"/>
        </w:tabs>
        <w:ind w:left="113"/>
        <w:rPr>
          <w:rFonts w:cs="Arial"/>
          <w:b/>
          <w:i/>
          <w:color w:val="00B050"/>
        </w:rPr>
      </w:pPr>
    </w:p>
    <w:p w:rsidR="006D2311" w:rsidRPr="006D2311" w:rsidRDefault="006D2311" w:rsidP="006D2311">
      <w:pPr>
        <w:tabs>
          <w:tab w:val="left" w:pos="1320"/>
        </w:tabs>
        <w:ind w:left="113"/>
        <w:rPr>
          <w:rFonts w:cs="Arial"/>
          <w:b/>
          <w:i/>
          <w:color w:val="00B050"/>
        </w:rPr>
      </w:pPr>
      <w:r w:rsidRPr="006D2311">
        <w:rPr>
          <w:rFonts w:cs="Arial"/>
          <w:b/>
          <w:i/>
          <w:color w:val="00B050"/>
        </w:rPr>
        <w:t>N02CC</w:t>
      </w:r>
      <w:r w:rsidRPr="006D2311">
        <w:rPr>
          <w:rFonts w:cs="Arial"/>
          <w:b/>
          <w:i/>
          <w:color w:val="00B050"/>
        </w:rPr>
        <w:tab/>
        <w:t>AGONISTAS SELECTIVOS DEL RECEPTOR 5HT1</w:t>
      </w:r>
    </w:p>
    <w:tbl>
      <w:tblPr>
        <w:tblW w:w="9077" w:type="dxa"/>
        <w:tblCellMar>
          <w:left w:w="70" w:type="dxa"/>
          <w:right w:w="70" w:type="dxa"/>
        </w:tblCellMar>
        <w:tblLook w:val="04A0" w:firstRow="1" w:lastRow="0" w:firstColumn="1" w:lastColumn="0" w:noHBand="0" w:noVBand="1"/>
      </w:tblPr>
      <w:tblGrid>
        <w:gridCol w:w="1151"/>
        <w:gridCol w:w="7926"/>
      </w:tblGrid>
      <w:tr w:rsidR="004930D8" w:rsidRPr="004930D8" w:rsidTr="00B62E52">
        <w:trPr>
          <w:trHeight w:val="300"/>
        </w:trPr>
        <w:tc>
          <w:tcPr>
            <w:tcW w:w="1151" w:type="dxa"/>
            <w:tcBorders>
              <w:top w:val="nil"/>
              <w:left w:val="nil"/>
              <w:bottom w:val="nil"/>
              <w:right w:val="nil"/>
            </w:tcBorders>
            <w:shd w:val="clear" w:color="auto" w:fill="auto"/>
            <w:noWrap/>
            <w:vAlign w:val="bottom"/>
            <w:hideMark/>
          </w:tcPr>
          <w:p w:rsidR="004930D8" w:rsidRPr="004930D8" w:rsidRDefault="004930D8" w:rsidP="003D2229">
            <w:pPr>
              <w:spacing w:after="0" w:line="240" w:lineRule="auto"/>
              <w:rPr>
                <w:b/>
                <w:i/>
                <w:color w:val="00B050"/>
              </w:rPr>
            </w:pPr>
            <w:r w:rsidRPr="004930D8">
              <w:rPr>
                <w:b/>
                <w:i/>
                <w:color w:val="00B050"/>
              </w:rPr>
              <w:t>N02CC01.A</w:t>
            </w:r>
          </w:p>
        </w:tc>
        <w:tc>
          <w:tcPr>
            <w:tcW w:w="7926" w:type="dxa"/>
            <w:tcBorders>
              <w:top w:val="nil"/>
              <w:left w:val="nil"/>
              <w:bottom w:val="nil"/>
              <w:right w:val="nil"/>
            </w:tcBorders>
            <w:shd w:val="clear" w:color="auto" w:fill="auto"/>
            <w:noWrap/>
            <w:vAlign w:val="center"/>
            <w:hideMark/>
          </w:tcPr>
          <w:p w:rsidR="004930D8" w:rsidRPr="004930D8" w:rsidRDefault="004930D8" w:rsidP="003D2229">
            <w:pPr>
              <w:spacing w:after="0" w:line="240" w:lineRule="auto"/>
              <w:rPr>
                <w:b/>
                <w:i/>
                <w:color w:val="00B050"/>
              </w:rPr>
            </w:pPr>
            <w:r w:rsidRPr="004930D8">
              <w:rPr>
                <w:b/>
                <w:i/>
                <w:color w:val="00B050"/>
              </w:rPr>
              <w:t>SUMATRIPTAN</w:t>
            </w:r>
          </w:p>
        </w:tc>
      </w:tr>
    </w:tbl>
    <w:p w:rsidR="00C06B48" w:rsidRDefault="00C06B48" w:rsidP="00C06B48">
      <w:pPr>
        <w:pStyle w:val="Prrafodelista"/>
        <w:ind w:left="1440"/>
        <w:jc w:val="both"/>
      </w:pPr>
    </w:p>
    <w:p w:rsidR="00002E9D" w:rsidRDefault="003D1140" w:rsidP="005A466E">
      <w:pPr>
        <w:pStyle w:val="Prrafodelista"/>
        <w:numPr>
          <w:ilvl w:val="0"/>
          <w:numId w:val="9"/>
        </w:numPr>
        <w:jc w:val="both"/>
      </w:pPr>
      <w:r w:rsidRPr="00400281">
        <w:t xml:space="preserve">Tratamiento </w:t>
      </w:r>
      <w:r w:rsidR="00002E9D" w:rsidRPr="00002E9D">
        <w:t xml:space="preserve">agudo de la migraña y cefalea “en racimos” en pacientes refractarios a fármacos convencionales. </w:t>
      </w:r>
    </w:p>
    <w:p w:rsidR="003D1140" w:rsidRDefault="00002E9D" w:rsidP="00002E9D">
      <w:pPr>
        <w:pStyle w:val="Prrafodelista"/>
        <w:ind w:left="1440"/>
        <w:jc w:val="both"/>
      </w:pPr>
      <w:r w:rsidRPr="00002E9D">
        <w:rPr>
          <w:u w:val="single"/>
        </w:rPr>
        <w:t>Dosis:</w:t>
      </w:r>
      <w:r w:rsidRPr="00002E9D">
        <w:t xml:space="preserve"> 6 mg por vía SC y segunda dosis a la hora de la primera (máximo: 12 mg/día) y por vía oral 25-100 mg cada 2 horas hasta un máximo de 200 mg/día.</w:t>
      </w:r>
    </w:p>
    <w:p w:rsidR="000D1016" w:rsidRPr="000D1016" w:rsidRDefault="000D1016" w:rsidP="000D1016">
      <w:pPr>
        <w:tabs>
          <w:tab w:val="left" w:pos="1320"/>
        </w:tabs>
        <w:ind w:left="113"/>
        <w:rPr>
          <w:rFonts w:cs="Arial"/>
          <w:b/>
          <w:bCs/>
          <w:i/>
          <w:color w:val="00B050"/>
        </w:rPr>
      </w:pPr>
      <w:r w:rsidRPr="000D1016">
        <w:rPr>
          <w:rFonts w:cs="Arial"/>
          <w:b/>
          <w:i/>
          <w:color w:val="00B050"/>
        </w:rPr>
        <w:t>N03</w:t>
      </w:r>
      <w:r w:rsidRPr="000D1016">
        <w:rPr>
          <w:rFonts w:cs="Arial"/>
          <w:b/>
          <w:i/>
          <w:color w:val="00B050"/>
        </w:rPr>
        <w:tab/>
      </w:r>
      <w:r w:rsidRPr="000D1016">
        <w:rPr>
          <w:rFonts w:cs="Arial"/>
          <w:b/>
          <w:bCs/>
          <w:i/>
          <w:color w:val="00B050"/>
        </w:rPr>
        <w:t>ANTIEPILEPTICOS</w:t>
      </w:r>
    </w:p>
    <w:p w:rsidR="000D1016" w:rsidRPr="000D1016" w:rsidRDefault="000D1016" w:rsidP="000D1016">
      <w:pPr>
        <w:tabs>
          <w:tab w:val="left" w:pos="1320"/>
        </w:tabs>
        <w:ind w:left="113"/>
        <w:rPr>
          <w:rFonts w:cs="Arial"/>
          <w:b/>
          <w:i/>
          <w:color w:val="00B050"/>
        </w:rPr>
      </w:pPr>
      <w:r w:rsidRPr="000D1016">
        <w:rPr>
          <w:rFonts w:cs="Arial"/>
          <w:b/>
          <w:i/>
          <w:color w:val="00B050"/>
        </w:rPr>
        <w:t>N03AE</w:t>
      </w:r>
      <w:r w:rsidRPr="000D1016">
        <w:rPr>
          <w:rFonts w:cs="Arial"/>
          <w:b/>
          <w:i/>
          <w:color w:val="00B050"/>
        </w:rPr>
        <w:tab/>
        <w:t>DERIVADOS DE LA BENZODIAZEPINA</w:t>
      </w:r>
    </w:p>
    <w:p w:rsidR="000D1016" w:rsidRPr="000D1016" w:rsidRDefault="000D1016" w:rsidP="000D1016">
      <w:pPr>
        <w:tabs>
          <w:tab w:val="left" w:pos="1320"/>
        </w:tabs>
        <w:ind w:left="113"/>
        <w:rPr>
          <w:rFonts w:cs="Arial"/>
          <w:b/>
          <w:i/>
          <w:color w:val="00B050"/>
        </w:rPr>
      </w:pPr>
      <w:r w:rsidRPr="000D1016">
        <w:rPr>
          <w:rFonts w:cs="Arial"/>
          <w:b/>
          <w:i/>
          <w:color w:val="00B050"/>
        </w:rPr>
        <w:t>N03AE01</w:t>
      </w:r>
      <w:r w:rsidRPr="000D1016">
        <w:rPr>
          <w:rFonts w:cs="Arial"/>
          <w:b/>
          <w:i/>
          <w:color w:val="00B050"/>
        </w:rPr>
        <w:tab/>
        <w:t xml:space="preserve">CLONAZEPAM </w:t>
      </w:r>
    </w:p>
    <w:p w:rsidR="000D1016" w:rsidRPr="000D1016" w:rsidRDefault="000D1016" w:rsidP="00396EBC">
      <w:pPr>
        <w:numPr>
          <w:ilvl w:val="1"/>
          <w:numId w:val="61"/>
        </w:numPr>
        <w:spacing w:after="0" w:line="240" w:lineRule="auto"/>
        <w:jc w:val="both"/>
        <w:rPr>
          <w:snapToGrid w:val="0"/>
        </w:rPr>
      </w:pPr>
      <w:r w:rsidRPr="000D1016">
        <w:rPr>
          <w:snapToGrid w:val="0"/>
        </w:rPr>
        <w:t xml:space="preserve">Pacientes con epilepsia </w:t>
      </w:r>
      <w:proofErr w:type="spellStart"/>
      <w:r w:rsidRPr="000D1016">
        <w:rPr>
          <w:snapToGrid w:val="0"/>
        </w:rPr>
        <w:t>mioclónica</w:t>
      </w:r>
      <w:proofErr w:type="spellEnd"/>
      <w:r w:rsidRPr="000D1016">
        <w:rPr>
          <w:snapToGrid w:val="0"/>
        </w:rPr>
        <w:t>, ausencias atípicas, convulsiones tónicas y atónicas. Dosis: 0,5 mg cada 8 horas por vía oral.</w:t>
      </w:r>
    </w:p>
    <w:p w:rsidR="000D1016" w:rsidRPr="000D1016" w:rsidRDefault="000D1016" w:rsidP="00396EBC">
      <w:pPr>
        <w:numPr>
          <w:ilvl w:val="1"/>
          <w:numId w:val="61"/>
        </w:numPr>
        <w:spacing w:after="0" w:line="240" w:lineRule="auto"/>
        <w:jc w:val="both"/>
        <w:rPr>
          <w:snapToGrid w:val="0"/>
        </w:rPr>
      </w:pPr>
      <w:r w:rsidRPr="000D1016">
        <w:rPr>
          <w:snapToGrid w:val="0"/>
        </w:rPr>
        <w:t>Tratamiento adyuvante para epilepsias parciales con o sin generalización secundaria que no fueron satisfactoriamente controladas con otros antiepilépticos. Dosis: 0,5 mg cada 8 horas por vía oral.</w:t>
      </w:r>
    </w:p>
    <w:p w:rsidR="000D1016" w:rsidRPr="000D1016" w:rsidRDefault="000D1016" w:rsidP="000D1016">
      <w:pPr>
        <w:tabs>
          <w:tab w:val="left" w:pos="1320"/>
        </w:tabs>
        <w:ind w:left="113"/>
        <w:rPr>
          <w:rFonts w:cs="Arial"/>
        </w:rPr>
      </w:pPr>
    </w:p>
    <w:p w:rsidR="000D1016" w:rsidRDefault="000D1016" w:rsidP="000D1016">
      <w:pPr>
        <w:jc w:val="both"/>
        <w:rPr>
          <w:b/>
          <w:i/>
          <w:color w:val="00B050"/>
          <w:lang w:val="pt-BR"/>
        </w:rPr>
      </w:pPr>
      <w:r w:rsidRPr="00BC064C">
        <w:rPr>
          <w:b/>
          <w:i/>
          <w:color w:val="00B050"/>
          <w:lang w:val="pt-BR"/>
        </w:rPr>
        <w:t>N03AF02 OXCARBAMACEPINA</w:t>
      </w:r>
      <w:r w:rsidRPr="00584535">
        <w:rPr>
          <w:b/>
          <w:i/>
          <w:color w:val="00B050"/>
          <w:lang w:val="pt-BR"/>
        </w:rPr>
        <w:t xml:space="preserve"> </w:t>
      </w:r>
    </w:p>
    <w:p w:rsidR="000D1016" w:rsidRPr="005D4A92" w:rsidRDefault="000D1016" w:rsidP="000D1016">
      <w:pPr>
        <w:pStyle w:val="Prrafodelista"/>
        <w:numPr>
          <w:ilvl w:val="0"/>
          <w:numId w:val="9"/>
        </w:numPr>
        <w:jc w:val="both"/>
      </w:pPr>
      <w:r w:rsidRPr="005D4A92">
        <w:t xml:space="preserve">Fármaco alternativo a la </w:t>
      </w:r>
      <w:proofErr w:type="spellStart"/>
      <w:r w:rsidRPr="005D4A92">
        <w:t>carbamazepina</w:t>
      </w:r>
      <w:proofErr w:type="spellEnd"/>
      <w:r w:rsidRPr="005D4A92">
        <w:t xml:space="preserve"> para todas sus indicaciones (en particular epilepsia parcial focal) cuando:</w:t>
      </w:r>
    </w:p>
    <w:p w:rsidR="000D1016" w:rsidRDefault="000D1016" w:rsidP="000D1016">
      <w:pPr>
        <w:pStyle w:val="Prrafodelista"/>
        <w:numPr>
          <w:ilvl w:val="0"/>
          <w:numId w:val="13"/>
        </w:numPr>
        <w:jc w:val="both"/>
      </w:pPr>
      <w:r w:rsidRPr="005D4A92">
        <w:t xml:space="preserve">Exista la necesidad de tratamientos combinados en pacientes epilépticos que utilizan dosis máximas de fenobarbital, </w:t>
      </w:r>
      <w:proofErr w:type="spellStart"/>
      <w:r w:rsidRPr="005D4A92">
        <w:t>fenitoína</w:t>
      </w:r>
      <w:proofErr w:type="spellEnd"/>
      <w:r w:rsidRPr="005D4A92">
        <w:t xml:space="preserve">, o ácido </w:t>
      </w:r>
      <w:proofErr w:type="spellStart"/>
      <w:r w:rsidRPr="005D4A92">
        <w:t>valproico</w:t>
      </w:r>
      <w:proofErr w:type="spellEnd"/>
      <w:r w:rsidRPr="005D4A92">
        <w:t>.</w:t>
      </w:r>
      <w:r>
        <w:t xml:space="preserve"> </w:t>
      </w:r>
    </w:p>
    <w:p w:rsidR="000D1016" w:rsidRPr="005D4A92" w:rsidRDefault="000D1016" w:rsidP="000D1016">
      <w:pPr>
        <w:pStyle w:val="Prrafodelista"/>
        <w:numPr>
          <w:ilvl w:val="0"/>
          <w:numId w:val="13"/>
        </w:numPr>
        <w:jc w:val="both"/>
      </w:pPr>
      <w:r w:rsidRPr="005D4A92">
        <w:t xml:space="preserve">Exista marcada intolerancia a </w:t>
      </w:r>
      <w:proofErr w:type="spellStart"/>
      <w:r w:rsidRPr="005D4A92">
        <w:t>carbamazepina</w:t>
      </w:r>
      <w:proofErr w:type="spellEnd"/>
      <w:r w:rsidRPr="005D4A92">
        <w:t xml:space="preserve"> (ataxia, diplopía, visión borrosa, hipersensibilidad, eritema cutáneo, </w:t>
      </w:r>
      <w:proofErr w:type="spellStart"/>
      <w:r w:rsidRPr="005D4A92">
        <w:t>eosinofilia</w:t>
      </w:r>
      <w:proofErr w:type="spellEnd"/>
      <w:r w:rsidRPr="005D4A92">
        <w:t>, esplenomegalia)</w:t>
      </w:r>
    </w:p>
    <w:p w:rsidR="000D1016" w:rsidRDefault="000D1016" w:rsidP="000D1016">
      <w:pPr>
        <w:pStyle w:val="Prrafodelista"/>
        <w:numPr>
          <w:ilvl w:val="0"/>
          <w:numId w:val="13"/>
        </w:numPr>
        <w:jc w:val="both"/>
      </w:pPr>
      <w:r w:rsidRPr="005D4A92">
        <w:t>Se presenten efectos adversos hematológicos documentados</w:t>
      </w:r>
      <w:r>
        <w:t>.</w:t>
      </w:r>
    </w:p>
    <w:p w:rsidR="000D1016" w:rsidRPr="005D4A92" w:rsidRDefault="000D1016" w:rsidP="000D1016">
      <w:pPr>
        <w:pStyle w:val="Prrafodelista"/>
        <w:numPr>
          <w:ilvl w:val="0"/>
          <w:numId w:val="9"/>
        </w:numPr>
        <w:jc w:val="both"/>
      </w:pPr>
      <w:r w:rsidRPr="005D4A92">
        <w:t xml:space="preserve">Dosis: inicial 300 mg 2 veces al día por 2 semanas e incrementar a 1200 mg día en mantenimiento; dosis máxima 2400 mg/día; en niños hasta </w:t>
      </w:r>
      <w:smartTag w:uri="urn:schemas-microsoft-com:office:smarttags" w:element="metricconverter">
        <w:smartTagPr>
          <w:attr w:name="ProductID" w:val="20 kg"/>
        </w:smartTagPr>
        <w:r w:rsidRPr="005D4A92">
          <w:t>20 kg</w:t>
        </w:r>
      </w:smartTag>
      <w:r w:rsidRPr="005D4A92">
        <w:t xml:space="preserve"> de peso 600-900 mg/día y hasta </w:t>
      </w:r>
      <w:smartTag w:uri="urn:schemas-microsoft-com:office:smarttags" w:element="metricconverter">
        <w:smartTagPr>
          <w:attr w:name="ProductID" w:val="40 kg"/>
        </w:smartTagPr>
        <w:r w:rsidRPr="005D4A92">
          <w:t>40 kg</w:t>
        </w:r>
      </w:smartTag>
      <w:r w:rsidRPr="005D4A92">
        <w:t xml:space="preserve"> de peso 900-1500 mg/día repartidos en 2 tomas.</w:t>
      </w:r>
    </w:p>
    <w:p w:rsidR="000D1016" w:rsidRPr="00584535" w:rsidRDefault="000D1016" w:rsidP="000D1016">
      <w:pPr>
        <w:jc w:val="both"/>
        <w:rPr>
          <w:lang w:val="pt-BR"/>
        </w:rPr>
      </w:pPr>
      <w:r w:rsidRPr="00BC064C">
        <w:rPr>
          <w:b/>
          <w:i/>
          <w:color w:val="00B050"/>
          <w:lang w:val="pt-BR"/>
        </w:rPr>
        <w:t>N03AG04 VIGABATRIN</w:t>
      </w:r>
      <w:r>
        <w:rPr>
          <w:b/>
          <w:i/>
          <w:color w:val="00B050"/>
          <w:lang w:val="pt-BR"/>
        </w:rPr>
        <w:t xml:space="preserve"> </w:t>
      </w:r>
    </w:p>
    <w:p w:rsidR="000D1016" w:rsidRPr="00066569" w:rsidRDefault="000D1016" w:rsidP="000D1016">
      <w:pPr>
        <w:pStyle w:val="Prrafodelista"/>
        <w:numPr>
          <w:ilvl w:val="0"/>
          <w:numId w:val="9"/>
        </w:numPr>
        <w:jc w:val="both"/>
      </w:pPr>
      <w:r w:rsidRPr="00066569">
        <w:t xml:space="preserve">Fármaco anticonvulsivante para el tratamiento adyuvante de la epilepsia parcial compleja </w:t>
      </w:r>
      <w:proofErr w:type="spellStart"/>
      <w:r w:rsidRPr="00066569">
        <w:t>multiresistente</w:t>
      </w:r>
      <w:proofErr w:type="spellEnd"/>
      <w:r w:rsidRPr="00066569">
        <w:t xml:space="preserve"> en adultos y niños manejada por especialista. </w:t>
      </w:r>
    </w:p>
    <w:p w:rsidR="000D1016" w:rsidRPr="00066569" w:rsidRDefault="000D1016" w:rsidP="000D1016">
      <w:pPr>
        <w:pStyle w:val="Prrafodelista"/>
        <w:ind w:left="1440"/>
        <w:jc w:val="both"/>
      </w:pPr>
      <w:r w:rsidRPr="00066569">
        <w:rPr>
          <w:u w:val="single"/>
        </w:rPr>
        <w:t>Nota:</w:t>
      </w:r>
      <w:r w:rsidRPr="00066569">
        <w:t xml:space="preserve"> debe indicarse control previo y monitoreo por oftalmólogo considerando las alteraciones visuales que puede producir este medicamento.</w:t>
      </w:r>
    </w:p>
    <w:p w:rsidR="000D1016" w:rsidRPr="00066569" w:rsidRDefault="000D1016" w:rsidP="000D1016">
      <w:pPr>
        <w:pStyle w:val="Prrafodelista"/>
        <w:ind w:left="1440"/>
        <w:jc w:val="both"/>
      </w:pPr>
      <w:r w:rsidRPr="00066569">
        <w:rPr>
          <w:u w:val="single"/>
        </w:rPr>
        <w:t>Dosis</w:t>
      </w:r>
      <w:r w:rsidRPr="00066569">
        <w:t xml:space="preserve">: 2-3 gr/día por vía oral. </w:t>
      </w:r>
    </w:p>
    <w:p w:rsidR="000D1016" w:rsidRPr="000D1016" w:rsidRDefault="000D1016" w:rsidP="000D1016">
      <w:pPr>
        <w:tabs>
          <w:tab w:val="left" w:pos="1320"/>
        </w:tabs>
        <w:ind w:left="113"/>
        <w:rPr>
          <w:rFonts w:cs="Arial"/>
          <w:b/>
          <w:i/>
          <w:color w:val="00B050"/>
        </w:rPr>
      </w:pPr>
      <w:r w:rsidRPr="000D1016">
        <w:rPr>
          <w:rFonts w:cs="Arial"/>
          <w:b/>
          <w:i/>
          <w:color w:val="00B050"/>
        </w:rPr>
        <w:t>N03AX</w:t>
      </w:r>
      <w:r w:rsidRPr="000D1016">
        <w:rPr>
          <w:rFonts w:cs="Arial"/>
          <w:b/>
          <w:i/>
          <w:color w:val="00B050"/>
        </w:rPr>
        <w:tab/>
        <w:t>OTROS ANTIEPILEPTICOS</w:t>
      </w:r>
    </w:p>
    <w:p w:rsidR="000D1016" w:rsidRPr="000D1016" w:rsidRDefault="000D1016" w:rsidP="000D1016">
      <w:pPr>
        <w:tabs>
          <w:tab w:val="left" w:pos="1320"/>
        </w:tabs>
        <w:ind w:left="113"/>
        <w:rPr>
          <w:rFonts w:cs="Arial"/>
          <w:b/>
          <w:i/>
          <w:color w:val="00B050"/>
        </w:rPr>
      </w:pPr>
      <w:r w:rsidRPr="000D1016">
        <w:rPr>
          <w:rFonts w:cs="Arial"/>
          <w:b/>
          <w:i/>
          <w:color w:val="00B050"/>
        </w:rPr>
        <w:t>N03AX09</w:t>
      </w:r>
      <w:r w:rsidRPr="000D1016">
        <w:rPr>
          <w:rFonts w:cs="Arial"/>
          <w:b/>
          <w:i/>
          <w:color w:val="00B050"/>
        </w:rPr>
        <w:tab/>
        <w:t xml:space="preserve">LAMOTRIGINA  </w:t>
      </w:r>
    </w:p>
    <w:p w:rsidR="000D1016" w:rsidRPr="000D1016" w:rsidRDefault="000D1016" w:rsidP="00396EBC">
      <w:pPr>
        <w:numPr>
          <w:ilvl w:val="0"/>
          <w:numId w:val="62"/>
        </w:numPr>
        <w:spacing w:after="0" w:line="240" w:lineRule="auto"/>
        <w:jc w:val="both"/>
        <w:rPr>
          <w:snapToGrid w:val="0"/>
        </w:rPr>
      </w:pPr>
      <w:r w:rsidRPr="000D1016">
        <w:rPr>
          <w:snapToGrid w:val="0"/>
        </w:rPr>
        <w:lastRenderedPageBreak/>
        <w:t xml:space="preserve">Pacientes con epilepsia parcial </w:t>
      </w:r>
      <w:proofErr w:type="spellStart"/>
      <w:r w:rsidRPr="000D1016">
        <w:rPr>
          <w:snapToGrid w:val="0"/>
        </w:rPr>
        <w:t>multiresistente</w:t>
      </w:r>
      <w:proofErr w:type="spellEnd"/>
      <w:r w:rsidRPr="000D1016">
        <w:rPr>
          <w:snapToGrid w:val="0"/>
        </w:rPr>
        <w:t>.</w:t>
      </w:r>
    </w:p>
    <w:p w:rsidR="000D1016" w:rsidRPr="000D1016" w:rsidRDefault="000D1016" w:rsidP="00396EBC">
      <w:pPr>
        <w:numPr>
          <w:ilvl w:val="0"/>
          <w:numId w:val="62"/>
        </w:numPr>
        <w:spacing w:after="0" w:line="240" w:lineRule="auto"/>
        <w:jc w:val="both"/>
        <w:rPr>
          <w:snapToGrid w:val="0"/>
        </w:rPr>
      </w:pPr>
      <w:r w:rsidRPr="000D1016">
        <w:rPr>
          <w:snapToGrid w:val="0"/>
        </w:rPr>
        <w:t xml:space="preserve">Pacientes con epilepsia parcial </w:t>
      </w:r>
      <w:proofErr w:type="spellStart"/>
      <w:r w:rsidRPr="000D1016">
        <w:rPr>
          <w:snapToGrid w:val="0"/>
        </w:rPr>
        <w:t>multiresistente</w:t>
      </w:r>
      <w:proofErr w:type="spellEnd"/>
      <w:r w:rsidRPr="000D1016">
        <w:rPr>
          <w:snapToGrid w:val="0"/>
        </w:rPr>
        <w:t xml:space="preserve"> secundariamente generalizada.</w:t>
      </w:r>
    </w:p>
    <w:p w:rsidR="000D1016" w:rsidRPr="000D1016" w:rsidRDefault="000D1016" w:rsidP="00396EBC">
      <w:pPr>
        <w:numPr>
          <w:ilvl w:val="0"/>
          <w:numId w:val="62"/>
        </w:numPr>
        <w:spacing w:after="0" w:line="240" w:lineRule="auto"/>
        <w:jc w:val="both"/>
        <w:rPr>
          <w:snapToGrid w:val="0"/>
        </w:rPr>
      </w:pPr>
      <w:r w:rsidRPr="000D1016">
        <w:rPr>
          <w:snapToGrid w:val="0"/>
        </w:rPr>
        <w:t xml:space="preserve">Pacientes con convulsiones tónico clónicas </w:t>
      </w:r>
      <w:proofErr w:type="spellStart"/>
      <w:r w:rsidRPr="000D1016">
        <w:rPr>
          <w:snapToGrid w:val="0"/>
        </w:rPr>
        <w:t>multiresistentes</w:t>
      </w:r>
      <w:proofErr w:type="spellEnd"/>
      <w:r w:rsidRPr="000D1016">
        <w:rPr>
          <w:snapToGrid w:val="0"/>
        </w:rPr>
        <w:t>.</w:t>
      </w:r>
    </w:p>
    <w:p w:rsidR="000D1016" w:rsidRPr="000D1016" w:rsidRDefault="000D1016" w:rsidP="00396EBC">
      <w:pPr>
        <w:numPr>
          <w:ilvl w:val="0"/>
          <w:numId w:val="62"/>
        </w:numPr>
        <w:spacing w:after="0" w:line="240" w:lineRule="auto"/>
        <w:jc w:val="both"/>
        <w:rPr>
          <w:snapToGrid w:val="0"/>
        </w:rPr>
      </w:pPr>
      <w:r w:rsidRPr="000D1016">
        <w:rPr>
          <w:snapToGrid w:val="0"/>
        </w:rPr>
        <w:t xml:space="preserve">Tratamiento adyuvante en síndrome de </w:t>
      </w:r>
      <w:proofErr w:type="spellStart"/>
      <w:r w:rsidRPr="000D1016">
        <w:rPr>
          <w:snapToGrid w:val="0"/>
        </w:rPr>
        <w:t>Lennox</w:t>
      </w:r>
      <w:proofErr w:type="spellEnd"/>
      <w:r w:rsidRPr="000D1016">
        <w:rPr>
          <w:snapToGrid w:val="0"/>
        </w:rPr>
        <w:t xml:space="preserve"> </w:t>
      </w:r>
      <w:proofErr w:type="spellStart"/>
      <w:r w:rsidRPr="000D1016">
        <w:rPr>
          <w:snapToGrid w:val="0"/>
        </w:rPr>
        <w:t>Gastaut</w:t>
      </w:r>
      <w:proofErr w:type="spellEnd"/>
    </w:p>
    <w:p w:rsidR="000D1016" w:rsidRPr="000D1016" w:rsidRDefault="000D1016" w:rsidP="000D1016">
      <w:pPr>
        <w:tabs>
          <w:tab w:val="num" w:pos="720"/>
        </w:tabs>
        <w:ind w:left="720" w:hanging="360"/>
        <w:jc w:val="both"/>
        <w:rPr>
          <w:snapToGrid w:val="0"/>
        </w:rPr>
      </w:pPr>
      <w:r w:rsidRPr="000D1016">
        <w:rPr>
          <w:snapToGrid w:val="0"/>
          <w:u w:val="single"/>
        </w:rPr>
        <w:t>Dosis</w:t>
      </w:r>
      <w:r w:rsidRPr="000D1016">
        <w:rPr>
          <w:snapToGrid w:val="0"/>
        </w:rPr>
        <w:t>: inicial: 25-50 mg/día en 2 tomas por 2 semanas;  luego 50 –100 mg en 2 tomas por 2 semanas; mantenimiento: 200-400 mg/día en 2 tomas.</w:t>
      </w:r>
    </w:p>
    <w:p w:rsidR="003A42F3" w:rsidRDefault="003A42F3" w:rsidP="003A42F3">
      <w:pPr>
        <w:jc w:val="both"/>
        <w:rPr>
          <w:b/>
          <w:i/>
          <w:color w:val="00B050"/>
          <w:lang w:val="pt-BR"/>
        </w:rPr>
      </w:pPr>
    </w:p>
    <w:p w:rsidR="003A42F3" w:rsidRDefault="003A42F3" w:rsidP="003A42F3">
      <w:pPr>
        <w:jc w:val="both"/>
        <w:rPr>
          <w:b/>
          <w:i/>
          <w:color w:val="00B050"/>
          <w:lang w:val="pt-BR"/>
        </w:rPr>
      </w:pPr>
      <w:r w:rsidRPr="00BC064C">
        <w:rPr>
          <w:b/>
          <w:i/>
          <w:color w:val="00B050"/>
          <w:lang w:val="pt-BR"/>
        </w:rPr>
        <w:t>N03AX11 TOPIRAMATO</w:t>
      </w:r>
    </w:p>
    <w:p w:rsidR="003A42F3" w:rsidRPr="003857F3" w:rsidRDefault="003A42F3" w:rsidP="003A42F3">
      <w:pPr>
        <w:pStyle w:val="Prrafodelista"/>
        <w:numPr>
          <w:ilvl w:val="0"/>
          <w:numId w:val="9"/>
        </w:numPr>
        <w:jc w:val="both"/>
      </w:pPr>
      <w:r w:rsidRPr="003857F3">
        <w:t>Tratamiento coadyuvante y/o de elección prescripto por especialista para casos seleccionados de:</w:t>
      </w:r>
    </w:p>
    <w:p w:rsidR="003A42F3" w:rsidRDefault="003A42F3" w:rsidP="003A42F3">
      <w:pPr>
        <w:pStyle w:val="Prrafodelista"/>
        <w:numPr>
          <w:ilvl w:val="0"/>
          <w:numId w:val="13"/>
        </w:numPr>
        <w:jc w:val="both"/>
      </w:pPr>
      <w:r w:rsidRPr="003857F3">
        <w:t>epilepsia parcial refractaria</w:t>
      </w:r>
      <w:r>
        <w:t xml:space="preserve">. </w:t>
      </w:r>
    </w:p>
    <w:p w:rsidR="003A42F3" w:rsidRPr="003857F3" w:rsidRDefault="003A42F3" w:rsidP="003A42F3">
      <w:pPr>
        <w:pStyle w:val="Prrafodelista"/>
        <w:numPr>
          <w:ilvl w:val="0"/>
          <w:numId w:val="13"/>
        </w:numPr>
        <w:jc w:val="both"/>
      </w:pPr>
      <w:r w:rsidRPr="003857F3">
        <w:t xml:space="preserve">convulsiones tónico-clónicas no controladas en tratamiento </w:t>
      </w:r>
      <w:r>
        <w:t xml:space="preserve">crónico y con 2 o más fármacos.     </w:t>
      </w:r>
    </w:p>
    <w:p w:rsidR="003A42F3" w:rsidRPr="003857F3" w:rsidRDefault="003A42F3" w:rsidP="003A42F3">
      <w:pPr>
        <w:pStyle w:val="Prrafodelista"/>
        <w:numPr>
          <w:ilvl w:val="0"/>
          <w:numId w:val="13"/>
        </w:numPr>
        <w:jc w:val="both"/>
      </w:pPr>
      <w:r w:rsidRPr="003857F3">
        <w:t xml:space="preserve">síndrome de </w:t>
      </w:r>
      <w:proofErr w:type="spellStart"/>
      <w:r w:rsidRPr="003857F3">
        <w:t>Gastaut-Lennox</w:t>
      </w:r>
      <w:proofErr w:type="spellEnd"/>
      <w:r w:rsidRPr="003857F3">
        <w:t xml:space="preserve"> en niños mayores de 2 años y adultos </w:t>
      </w:r>
    </w:p>
    <w:p w:rsidR="003A42F3" w:rsidRPr="003857F3" w:rsidRDefault="003A42F3" w:rsidP="003A42F3">
      <w:pPr>
        <w:pStyle w:val="Prrafodelista"/>
        <w:ind w:left="1440"/>
        <w:jc w:val="both"/>
      </w:pPr>
      <w:r w:rsidRPr="003857F3">
        <w:rPr>
          <w:u w:val="single"/>
        </w:rPr>
        <w:t>Dosis:</w:t>
      </w:r>
      <w:r w:rsidRPr="003857F3">
        <w:t xml:space="preserve"> inicio 25-50 mg/día en 1 o 2 tomas con incrementos semanales hasta llegar a dosis de mantenimiento: 200-400 mg/día en 2 tomas; en niños 1-3 mg/kg/día en 2 tomas. </w:t>
      </w:r>
    </w:p>
    <w:p w:rsidR="003A42F3" w:rsidRDefault="003A42F3" w:rsidP="003A42F3">
      <w:pPr>
        <w:jc w:val="both"/>
        <w:rPr>
          <w:b/>
          <w:i/>
          <w:color w:val="00B050"/>
          <w:lang w:val="pt-BR"/>
        </w:rPr>
      </w:pPr>
    </w:p>
    <w:p w:rsidR="003A42F3" w:rsidRDefault="003A42F3" w:rsidP="003A42F3">
      <w:pPr>
        <w:jc w:val="both"/>
        <w:rPr>
          <w:b/>
          <w:i/>
          <w:color w:val="00B050"/>
          <w:lang w:val="pt-BR"/>
        </w:rPr>
      </w:pPr>
      <w:r w:rsidRPr="00BC064C">
        <w:rPr>
          <w:b/>
          <w:i/>
          <w:color w:val="00B050"/>
          <w:lang w:val="pt-BR"/>
        </w:rPr>
        <w:t>N03AX12 GABAPENTINA</w:t>
      </w:r>
      <w:r>
        <w:rPr>
          <w:b/>
          <w:i/>
          <w:color w:val="00B050"/>
          <w:lang w:val="pt-BR"/>
        </w:rPr>
        <w:t xml:space="preserve"> </w:t>
      </w:r>
    </w:p>
    <w:p w:rsidR="003A42F3" w:rsidRDefault="003A42F3" w:rsidP="003A42F3">
      <w:pPr>
        <w:pStyle w:val="Prrafodelista"/>
        <w:numPr>
          <w:ilvl w:val="0"/>
          <w:numId w:val="9"/>
        </w:numPr>
        <w:jc w:val="both"/>
        <w:rPr>
          <w:lang w:val="pt-BR"/>
        </w:rPr>
      </w:pPr>
      <w:r w:rsidRPr="00EE062E">
        <w:rPr>
          <w:lang w:val="pt-BR"/>
        </w:rPr>
        <w:t xml:space="preserve">Indicado </w:t>
      </w:r>
      <w:proofErr w:type="spellStart"/>
      <w:r w:rsidRPr="00EE062E">
        <w:rPr>
          <w:lang w:val="pt-BR"/>
        </w:rPr>
        <w:t>en</w:t>
      </w:r>
      <w:proofErr w:type="spellEnd"/>
      <w:r w:rsidRPr="00EE062E">
        <w:rPr>
          <w:lang w:val="pt-BR"/>
        </w:rPr>
        <w:t xml:space="preserve"> epilepsia focal parcial a secundariamente generalizada como terapia </w:t>
      </w:r>
      <w:proofErr w:type="spellStart"/>
      <w:r w:rsidRPr="00EE062E">
        <w:rPr>
          <w:lang w:val="pt-BR"/>
        </w:rPr>
        <w:t>adyuvante</w:t>
      </w:r>
      <w:proofErr w:type="spellEnd"/>
      <w:r w:rsidRPr="00EE062E">
        <w:rPr>
          <w:lang w:val="pt-BR"/>
        </w:rPr>
        <w:t xml:space="preserve"> (</w:t>
      </w:r>
      <w:proofErr w:type="spellStart"/>
      <w:r w:rsidRPr="00EE062E">
        <w:rPr>
          <w:lang w:val="pt-BR"/>
        </w:rPr>
        <w:t>asociado</w:t>
      </w:r>
      <w:proofErr w:type="spellEnd"/>
      <w:r w:rsidRPr="00EE062E">
        <w:rPr>
          <w:lang w:val="pt-BR"/>
        </w:rPr>
        <w:t xml:space="preserve"> </w:t>
      </w:r>
      <w:proofErr w:type="gramStart"/>
      <w:r w:rsidRPr="00EE062E">
        <w:rPr>
          <w:lang w:val="pt-BR"/>
        </w:rPr>
        <w:t>al</w:t>
      </w:r>
      <w:proofErr w:type="gramEnd"/>
      <w:r w:rsidRPr="00EE062E">
        <w:rPr>
          <w:lang w:val="pt-BR"/>
        </w:rPr>
        <w:t xml:space="preserve"> </w:t>
      </w:r>
      <w:proofErr w:type="spellStart"/>
      <w:r w:rsidRPr="00EE062E">
        <w:rPr>
          <w:lang w:val="pt-BR"/>
        </w:rPr>
        <w:t>tratamiento</w:t>
      </w:r>
      <w:proofErr w:type="spellEnd"/>
      <w:r w:rsidRPr="00EE062E">
        <w:rPr>
          <w:lang w:val="pt-BR"/>
        </w:rPr>
        <w:t xml:space="preserve"> de base) </w:t>
      </w:r>
      <w:proofErr w:type="spellStart"/>
      <w:r w:rsidRPr="00EE062E">
        <w:rPr>
          <w:lang w:val="pt-BR"/>
        </w:rPr>
        <w:t>en</w:t>
      </w:r>
      <w:proofErr w:type="spellEnd"/>
      <w:r w:rsidRPr="00EE062E">
        <w:rPr>
          <w:lang w:val="pt-BR"/>
        </w:rPr>
        <w:t xml:space="preserve"> pacientes </w:t>
      </w:r>
      <w:proofErr w:type="spellStart"/>
      <w:r w:rsidRPr="00EE062E">
        <w:rPr>
          <w:lang w:val="pt-BR"/>
        </w:rPr>
        <w:t>refractarios</w:t>
      </w:r>
      <w:proofErr w:type="spellEnd"/>
      <w:r w:rsidRPr="00EE062E">
        <w:rPr>
          <w:lang w:val="pt-BR"/>
        </w:rPr>
        <w:t xml:space="preserve"> o </w:t>
      </w:r>
      <w:proofErr w:type="spellStart"/>
      <w:r w:rsidRPr="00EE062E">
        <w:rPr>
          <w:lang w:val="pt-BR"/>
        </w:rPr>
        <w:t>inadecuadamente</w:t>
      </w:r>
      <w:proofErr w:type="spellEnd"/>
      <w:r w:rsidRPr="00EE062E">
        <w:rPr>
          <w:lang w:val="pt-BR"/>
        </w:rPr>
        <w:t xml:space="preserve"> controlados. </w:t>
      </w:r>
    </w:p>
    <w:p w:rsidR="003A42F3" w:rsidRPr="00BC4DF9" w:rsidRDefault="003A42F3" w:rsidP="003A42F3">
      <w:pPr>
        <w:pStyle w:val="Prrafodelista"/>
        <w:ind w:left="1440"/>
        <w:jc w:val="both"/>
      </w:pPr>
      <w:r w:rsidRPr="00BC4DF9">
        <w:rPr>
          <w:u w:val="single"/>
        </w:rPr>
        <w:t>Dosis:</w:t>
      </w:r>
      <w:r w:rsidRPr="00BC4DF9">
        <w:t xml:space="preserve"> 900-1800 mg/día repartidos en 3 tomas por vía oral.</w:t>
      </w:r>
    </w:p>
    <w:p w:rsidR="003A42F3" w:rsidRDefault="003A42F3" w:rsidP="003A42F3">
      <w:pPr>
        <w:pStyle w:val="Prrafodelista"/>
        <w:numPr>
          <w:ilvl w:val="0"/>
          <w:numId w:val="9"/>
        </w:numPr>
        <w:jc w:val="both"/>
      </w:pPr>
      <w:r w:rsidRPr="00BC4DF9">
        <w:t xml:space="preserve">Tratamiento del dolor de origen </w:t>
      </w:r>
      <w:proofErr w:type="spellStart"/>
      <w:r w:rsidRPr="00BC4DF9">
        <w:t>neuropático</w:t>
      </w:r>
      <w:proofErr w:type="spellEnd"/>
      <w:r w:rsidRPr="00BC4DF9">
        <w:t xml:space="preserve">. </w:t>
      </w:r>
    </w:p>
    <w:p w:rsidR="003A42F3" w:rsidRPr="00BC4DF9" w:rsidRDefault="003A42F3" w:rsidP="003A42F3">
      <w:pPr>
        <w:pStyle w:val="Prrafodelista"/>
        <w:ind w:left="1440"/>
        <w:jc w:val="both"/>
      </w:pPr>
      <w:r w:rsidRPr="00BC4DF9">
        <w:rPr>
          <w:u w:val="single"/>
        </w:rPr>
        <w:t>Dosis:</w:t>
      </w:r>
      <w:r w:rsidRPr="00BC4DF9">
        <w:t xml:space="preserve"> 300 mg cada 8 horas por vía oral; máxima 1800-2400 mg/día.</w:t>
      </w:r>
    </w:p>
    <w:p w:rsidR="003A42F3" w:rsidRPr="003A42F3" w:rsidRDefault="003A42F3" w:rsidP="003A42F3">
      <w:pPr>
        <w:jc w:val="both"/>
        <w:rPr>
          <w:lang w:val="pt-BR"/>
        </w:rPr>
      </w:pPr>
      <w:r w:rsidRPr="003A42F3">
        <w:rPr>
          <w:b/>
          <w:i/>
          <w:color w:val="00B050"/>
          <w:lang w:val="pt-BR"/>
        </w:rPr>
        <w:t>N03AX14 LEVETIRACETAM</w:t>
      </w:r>
    </w:p>
    <w:p w:rsidR="003A42F3" w:rsidRPr="003A42F3" w:rsidRDefault="003A42F3" w:rsidP="003A42F3">
      <w:pPr>
        <w:pStyle w:val="Prrafodelista"/>
        <w:numPr>
          <w:ilvl w:val="0"/>
          <w:numId w:val="9"/>
        </w:numPr>
        <w:jc w:val="both"/>
        <w:rPr>
          <w:b/>
          <w:i/>
        </w:rPr>
      </w:pPr>
      <w:r w:rsidRPr="003A42F3">
        <w:t>En monoterapia destinada al tratamiento de las crisis de inicio parcial con o sin generalización secundaria en adultos y adolescentes de 16 años de edad o mayores con un nuevo diagnóstico de epilepsia.</w:t>
      </w:r>
    </w:p>
    <w:p w:rsidR="003A42F3" w:rsidRPr="003A42F3" w:rsidRDefault="003A42F3" w:rsidP="003A42F3">
      <w:pPr>
        <w:pStyle w:val="Prrafodelista"/>
        <w:numPr>
          <w:ilvl w:val="0"/>
          <w:numId w:val="9"/>
        </w:numPr>
        <w:jc w:val="both"/>
        <w:rPr>
          <w:b/>
          <w:i/>
        </w:rPr>
      </w:pPr>
      <w:r w:rsidRPr="003A42F3">
        <w:t xml:space="preserve">Como terapia concomitante </w:t>
      </w:r>
    </w:p>
    <w:p w:rsidR="003A42F3" w:rsidRPr="003A42F3" w:rsidRDefault="003A42F3" w:rsidP="003A42F3">
      <w:pPr>
        <w:pStyle w:val="Prrafodelista"/>
        <w:numPr>
          <w:ilvl w:val="0"/>
          <w:numId w:val="13"/>
        </w:numPr>
        <w:jc w:val="both"/>
        <w:rPr>
          <w:b/>
          <w:i/>
        </w:rPr>
      </w:pPr>
      <w:r w:rsidRPr="003A42F3">
        <w:t xml:space="preserve">en el tratamiento de las crisis de inicio parcial con o sin generalización secundaria en adultos, adolescentes, niños y lactantes desde 1 mes de edad con epilepsia. </w:t>
      </w:r>
    </w:p>
    <w:p w:rsidR="003A42F3" w:rsidRPr="003A42F3" w:rsidRDefault="003A42F3" w:rsidP="003A42F3">
      <w:pPr>
        <w:pStyle w:val="Prrafodelista"/>
        <w:numPr>
          <w:ilvl w:val="0"/>
          <w:numId w:val="13"/>
        </w:numPr>
        <w:jc w:val="both"/>
        <w:rPr>
          <w:b/>
          <w:i/>
        </w:rPr>
      </w:pPr>
      <w:r w:rsidRPr="003A42F3">
        <w:t xml:space="preserve">en el tratamiento de las crisis </w:t>
      </w:r>
      <w:proofErr w:type="spellStart"/>
      <w:r w:rsidRPr="003A42F3">
        <w:t>mioclónicas</w:t>
      </w:r>
      <w:proofErr w:type="spellEnd"/>
      <w:r w:rsidRPr="003A42F3">
        <w:t xml:space="preserve"> en adultos y adolescentes mayores de 12 años con epilepsia </w:t>
      </w:r>
      <w:proofErr w:type="spellStart"/>
      <w:r w:rsidRPr="003A42F3">
        <w:t>mioclónica</w:t>
      </w:r>
      <w:proofErr w:type="spellEnd"/>
      <w:r w:rsidRPr="003A42F3">
        <w:t xml:space="preserve"> juvenil. </w:t>
      </w:r>
    </w:p>
    <w:p w:rsidR="003A42F3" w:rsidRPr="003A42F3" w:rsidRDefault="003A42F3" w:rsidP="003A42F3">
      <w:pPr>
        <w:pStyle w:val="Prrafodelista"/>
        <w:numPr>
          <w:ilvl w:val="0"/>
          <w:numId w:val="13"/>
        </w:numPr>
        <w:jc w:val="both"/>
        <w:rPr>
          <w:b/>
          <w:i/>
        </w:rPr>
      </w:pPr>
      <w:r w:rsidRPr="003A42F3">
        <w:t>en el tratamiento de las crisis tónico-clónicas generalizadas primarias en adultos y adolescentes mayores de 12 años con epilepsia generalizada idiopática.</w:t>
      </w:r>
    </w:p>
    <w:p w:rsidR="003A42F3" w:rsidRPr="003A42F3" w:rsidRDefault="003A42F3" w:rsidP="003A42F3">
      <w:pPr>
        <w:ind w:left="1440"/>
        <w:jc w:val="both"/>
        <w:rPr>
          <w:u w:val="single"/>
        </w:rPr>
      </w:pPr>
      <w:r w:rsidRPr="003A42F3">
        <w:rPr>
          <w:u w:val="single"/>
        </w:rPr>
        <w:t>Dosis:</w:t>
      </w:r>
      <w:r w:rsidRPr="003A42F3">
        <w:t xml:space="preserve"> La dosis inicial recomendada es de 250 mg dos veces al día, la cual debe aumentarse hasta la dosis terapéutica inicial de 500 mg dos veces al día tras dos semanas de tratamiento. La dosis puede aumentarse en función de la respuesta clínica con 250 mg dos veces al día cada 2 semanas. La dosis máxima es de 1.500 mg dos veces al día</w:t>
      </w:r>
    </w:p>
    <w:p w:rsidR="003A42F3" w:rsidRPr="003A42F3" w:rsidRDefault="003A42F3" w:rsidP="003A42F3">
      <w:pPr>
        <w:jc w:val="both"/>
        <w:rPr>
          <w:b/>
          <w:i/>
          <w:color w:val="00B050"/>
        </w:rPr>
      </w:pPr>
    </w:p>
    <w:p w:rsidR="003A42F3" w:rsidRPr="003A42F3" w:rsidRDefault="003A42F3" w:rsidP="003A42F3">
      <w:pPr>
        <w:jc w:val="both"/>
      </w:pPr>
      <w:r w:rsidRPr="003A42F3">
        <w:rPr>
          <w:b/>
          <w:i/>
          <w:color w:val="00B050"/>
        </w:rPr>
        <w:t xml:space="preserve">N03AX16 PREGABALINA </w:t>
      </w:r>
    </w:p>
    <w:p w:rsidR="003A42F3" w:rsidRPr="003A42F3" w:rsidRDefault="003A42F3" w:rsidP="003A42F3">
      <w:pPr>
        <w:pStyle w:val="Prrafodelista"/>
        <w:ind w:left="1440"/>
        <w:jc w:val="both"/>
      </w:pPr>
    </w:p>
    <w:p w:rsidR="003A42F3" w:rsidRPr="003A42F3" w:rsidRDefault="003A42F3" w:rsidP="003A42F3">
      <w:pPr>
        <w:pStyle w:val="Prrafodelista"/>
        <w:numPr>
          <w:ilvl w:val="0"/>
          <w:numId w:val="9"/>
        </w:numPr>
        <w:jc w:val="both"/>
      </w:pPr>
      <w:r w:rsidRPr="003A42F3">
        <w:t xml:space="preserve">Tratamiento del dolor </w:t>
      </w:r>
      <w:proofErr w:type="spellStart"/>
      <w:r w:rsidRPr="003A42F3">
        <w:t>neuropático</w:t>
      </w:r>
      <w:proofErr w:type="spellEnd"/>
      <w:r w:rsidRPr="003A42F3">
        <w:t xml:space="preserve"> periférico y central en adultos. </w:t>
      </w:r>
    </w:p>
    <w:p w:rsidR="003A42F3" w:rsidRPr="003A42F3" w:rsidRDefault="003A42F3" w:rsidP="003A42F3">
      <w:pPr>
        <w:pStyle w:val="Prrafodelista"/>
        <w:numPr>
          <w:ilvl w:val="0"/>
          <w:numId w:val="9"/>
        </w:numPr>
        <w:jc w:val="both"/>
      </w:pPr>
      <w:r w:rsidRPr="003A42F3">
        <w:t xml:space="preserve">Tratamiento combinado de las crisis parciales con o sin generalización secundaria. </w:t>
      </w:r>
    </w:p>
    <w:p w:rsidR="003A42F3" w:rsidRPr="003A42F3" w:rsidRDefault="003A42F3" w:rsidP="003A42F3">
      <w:pPr>
        <w:pStyle w:val="Prrafodelista"/>
        <w:numPr>
          <w:ilvl w:val="0"/>
          <w:numId w:val="9"/>
        </w:numPr>
        <w:jc w:val="both"/>
      </w:pPr>
      <w:r w:rsidRPr="003A42F3">
        <w:t>Tratamiento del trastorno de ansiedad generalizada (TAG) en adultos.</w:t>
      </w:r>
    </w:p>
    <w:p w:rsidR="003A42F3" w:rsidRPr="003A42F3" w:rsidRDefault="003A42F3" w:rsidP="003A42F3">
      <w:pPr>
        <w:pStyle w:val="Prrafodelista"/>
        <w:ind w:left="1440"/>
        <w:jc w:val="both"/>
      </w:pPr>
      <w:r w:rsidRPr="003A42F3">
        <w:rPr>
          <w:u w:val="single"/>
        </w:rPr>
        <w:t>Dosis:</w:t>
      </w:r>
      <w:r w:rsidRPr="003A42F3">
        <w:t xml:space="preserve"> comenzar con una dosis de 150 mg al día, que se puede administrar dividida en dos o tres tomas. </w:t>
      </w:r>
    </w:p>
    <w:p w:rsidR="003A42F3" w:rsidRPr="003A42F3" w:rsidRDefault="003A42F3" w:rsidP="003A42F3">
      <w:pPr>
        <w:pStyle w:val="Prrafodelista"/>
        <w:ind w:left="1440"/>
        <w:jc w:val="both"/>
      </w:pPr>
      <w:r w:rsidRPr="003A42F3">
        <w:t xml:space="preserve">En función de la respuesta y tolerabilidad individual de cada paciente, la dosis </w:t>
      </w:r>
    </w:p>
    <w:p w:rsidR="003A42F3" w:rsidRPr="003A42F3" w:rsidRDefault="003A42F3" w:rsidP="003A42F3">
      <w:pPr>
        <w:pStyle w:val="Prrafodelista"/>
        <w:ind w:left="1440"/>
        <w:jc w:val="both"/>
      </w:pPr>
      <w:proofErr w:type="gramStart"/>
      <w:r w:rsidRPr="003A42F3">
        <w:t>se</w:t>
      </w:r>
      <w:proofErr w:type="gramEnd"/>
      <w:r w:rsidRPr="003A42F3">
        <w:t xml:space="preserve"> puede incrementar hasta 300 mg al día después de un intervalo de 3 a 7 días, y si fuese necesario, hasta una dosis máxima de 600 mg al día después de un intervalo adicional de 7 días.</w:t>
      </w:r>
    </w:p>
    <w:p w:rsidR="003A42F3" w:rsidRPr="003A42F3" w:rsidRDefault="003A42F3" w:rsidP="003A42F3">
      <w:pPr>
        <w:pStyle w:val="Prrafodelista"/>
        <w:ind w:left="1440"/>
        <w:jc w:val="both"/>
      </w:pPr>
    </w:p>
    <w:p w:rsidR="003A42F3" w:rsidRDefault="003A42F3" w:rsidP="003A42F3">
      <w:pPr>
        <w:jc w:val="both"/>
        <w:rPr>
          <w:b/>
          <w:i/>
          <w:color w:val="00B050"/>
          <w:lang w:val="pt-BR"/>
        </w:rPr>
      </w:pPr>
      <w:r w:rsidRPr="003A42F3">
        <w:rPr>
          <w:b/>
          <w:i/>
          <w:color w:val="00B050"/>
        </w:rPr>
        <w:t>N03AX</w:t>
      </w:r>
      <w:r w:rsidRPr="003A42F3">
        <w:rPr>
          <w:b/>
          <w:i/>
          <w:color w:val="00B050"/>
          <w:lang w:val="pt-BR"/>
        </w:rPr>
        <w:t>18 LACOSAMIDA</w:t>
      </w:r>
    </w:p>
    <w:p w:rsidR="003A42F3" w:rsidRPr="001F1F5B" w:rsidRDefault="003A42F3" w:rsidP="003A42F3">
      <w:pPr>
        <w:pStyle w:val="Prrafodelista"/>
        <w:numPr>
          <w:ilvl w:val="0"/>
          <w:numId w:val="9"/>
        </w:numPr>
        <w:jc w:val="both"/>
      </w:pPr>
      <w:r w:rsidRPr="00F07C68">
        <w:t>Tratamiento de las crisis de inicio parcial con o sin generalización secundaria en pacientes con epilepsia a partir de los 16 a</w:t>
      </w:r>
      <w:r>
        <w:t>ñ</w:t>
      </w:r>
      <w:r w:rsidRPr="00F07C68">
        <w:t>os</w:t>
      </w:r>
      <w:r>
        <w:t xml:space="preserve"> </w:t>
      </w:r>
    </w:p>
    <w:p w:rsidR="003A42F3" w:rsidRDefault="003A42F3" w:rsidP="003A42F3">
      <w:pPr>
        <w:pStyle w:val="Prrafodelista"/>
        <w:numPr>
          <w:ilvl w:val="0"/>
          <w:numId w:val="9"/>
        </w:numPr>
        <w:jc w:val="both"/>
      </w:pPr>
      <w:r w:rsidRPr="00F07C68">
        <w:t xml:space="preserve">Tratamiento adyuvante de las crisis de inicio parcial en adultos que no </w:t>
      </w:r>
      <w:r>
        <w:t xml:space="preserve">están </w:t>
      </w:r>
      <w:r w:rsidRPr="00F07C68">
        <w:t>satisfactoriamente controlados con la terapia convencional.</w:t>
      </w:r>
    </w:p>
    <w:p w:rsidR="003A42F3" w:rsidRDefault="003A42F3" w:rsidP="003A42F3">
      <w:pPr>
        <w:pStyle w:val="Prrafodelista"/>
        <w:ind w:left="1440"/>
        <w:jc w:val="both"/>
      </w:pPr>
      <w:r w:rsidRPr="009458FE">
        <w:rPr>
          <w:u w:val="single"/>
        </w:rPr>
        <w:t>Dosis</w:t>
      </w:r>
      <w:proofErr w:type="gramStart"/>
      <w:r w:rsidRPr="009458FE">
        <w:rPr>
          <w:u w:val="single"/>
        </w:rPr>
        <w:t>:</w:t>
      </w:r>
      <w:r w:rsidRPr="009458FE">
        <w:t xml:space="preserve">  </w:t>
      </w:r>
      <w:r>
        <w:t>La</w:t>
      </w:r>
      <w:proofErr w:type="gramEnd"/>
      <w:r>
        <w:t xml:space="preserve"> dosis inicial recomendada es de 50mg dos veces al día, la cual debe aumentarse hasta una dosis terapéutica inicial de 100 mg dos veces al día tras una semana. Puede aumentarse en 50mg dos veces al día cada semana, hasta una dosis diaria máxima recomendada de 400mg. </w:t>
      </w:r>
    </w:p>
    <w:p w:rsidR="003A42F3" w:rsidRPr="00F07C68" w:rsidRDefault="003A42F3" w:rsidP="003A42F3">
      <w:pPr>
        <w:pStyle w:val="Prrafodelista"/>
        <w:ind w:left="1440"/>
        <w:jc w:val="both"/>
      </w:pPr>
      <w:r>
        <w:t>La suspensión se recomienda que se haga de forma gradual (200 mg/semanal)</w:t>
      </w:r>
    </w:p>
    <w:p w:rsidR="00812D4E" w:rsidRPr="00812D4E" w:rsidRDefault="00812D4E" w:rsidP="00812D4E">
      <w:pPr>
        <w:tabs>
          <w:tab w:val="left" w:pos="1161"/>
        </w:tabs>
        <w:ind w:left="50"/>
        <w:rPr>
          <w:rFonts w:cs="Arial"/>
          <w:b/>
          <w:bCs/>
          <w:i/>
          <w:color w:val="00B050"/>
        </w:rPr>
      </w:pPr>
      <w:r w:rsidRPr="00812D4E">
        <w:rPr>
          <w:rFonts w:cs="Arial"/>
          <w:b/>
          <w:i/>
          <w:color w:val="00B050"/>
        </w:rPr>
        <w:t>N04</w:t>
      </w:r>
      <w:r w:rsidRPr="00812D4E">
        <w:rPr>
          <w:rFonts w:cs="Arial"/>
          <w:b/>
          <w:i/>
          <w:color w:val="00B050"/>
        </w:rPr>
        <w:tab/>
      </w:r>
      <w:r w:rsidRPr="00812D4E">
        <w:rPr>
          <w:rFonts w:cs="Arial"/>
          <w:b/>
          <w:bCs/>
          <w:i/>
          <w:color w:val="00B050"/>
        </w:rPr>
        <w:t>DROGAS ANTIPARKINSONIANAS</w:t>
      </w:r>
    </w:p>
    <w:p w:rsidR="00812D4E" w:rsidRPr="00812D4E" w:rsidRDefault="00812D4E" w:rsidP="00812D4E">
      <w:pPr>
        <w:tabs>
          <w:tab w:val="left" w:pos="1161"/>
        </w:tabs>
        <w:ind w:left="50"/>
        <w:rPr>
          <w:rFonts w:cs="Arial"/>
          <w:b/>
          <w:i/>
          <w:color w:val="00B050"/>
        </w:rPr>
      </w:pPr>
      <w:r w:rsidRPr="00812D4E">
        <w:rPr>
          <w:rFonts w:cs="Arial"/>
          <w:b/>
          <w:i/>
          <w:color w:val="00B050"/>
        </w:rPr>
        <w:t>N04BC</w:t>
      </w:r>
      <w:r w:rsidRPr="00812D4E">
        <w:rPr>
          <w:rFonts w:cs="Arial"/>
          <w:b/>
          <w:i/>
          <w:color w:val="00B050"/>
        </w:rPr>
        <w:tab/>
        <w:t xml:space="preserve"> AGONISTAS DE LA DOPAMINA</w:t>
      </w:r>
    </w:p>
    <w:p w:rsidR="00812D4E" w:rsidRPr="00812D4E" w:rsidRDefault="00812D4E" w:rsidP="00812D4E">
      <w:pPr>
        <w:tabs>
          <w:tab w:val="left" w:pos="1161"/>
        </w:tabs>
        <w:ind w:left="50"/>
        <w:rPr>
          <w:rFonts w:cs="Arial"/>
          <w:b/>
          <w:i/>
          <w:color w:val="00B050"/>
        </w:rPr>
      </w:pPr>
      <w:r w:rsidRPr="00812D4E">
        <w:rPr>
          <w:rFonts w:cs="Arial"/>
          <w:b/>
          <w:i/>
          <w:color w:val="00B050"/>
        </w:rPr>
        <w:t xml:space="preserve">N04BC05  PRAMIPEXOL DICLOROHIDRATO </w:t>
      </w:r>
    </w:p>
    <w:p w:rsidR="00812D4E" w:rsidRPr="00812D4E" w:rsidRDefault="00812D4E" w:rsidP="00396EBC">
      <w:pPr>
        <w:numPr>
          <w:ilvl w:val="0"/>
          <w:numId w:val="78"/>
        </w:numPr>
        <w:spacing w:after="0" w:line="240" w:lineRule="auto"/>
        <w:jc w:val="both"/>
        <w:rPr>
          <w:rFonts w:cs="Arial"/>
        </w:rPr>
      </w:pPr>
      <w:r w:rsidRPr="00812D4E">
        <w:rPr>
          <w:rFonts w:cs="Arial"/>
        </w:rPr>
        <w:t xml:space="preserve">Indicado en pacientes con enfermedad de Parkinson avanzado en tratamiento crónico con </w:t>
      </w:r>
      <w:proofErr w:type="spellStart"/>
      <w:r w:rsidRPr="00812D4E">
        <w:rPr>
          <w:rFonts w:cs="Arial"/>
        </w:rPr>
        <w:t>levodopa</w:t>
      </w:r>
      <w:proofErr w:type="spellEnd"/>
      <w:r w:rsidRPr="00812D4E">
        <w:rPr>
          <w:rFonts w:cs="Arial"/>
        </w:rPr>
        <w:t xml:space="preserve"> + </w:t>
      </w:r>
      <w:proofErr w:type="spellStart"/>
      <w:r w:rsidRPr="00812D4E">
        <w:rPr>
          <w:rFonts w:cs="Arial"/>
        </w:rPr>
        <w:t>carbidopa</w:t>
      </w:r>
      <w:proofErr w:type="spellEnd"/>
      <w:r w:rsidRPr="00812D4E">
        <w:rPr>
          <w:rFonts w:cs="Arial"/>
        </w:rPr>
        <w:t xml:space="preserve"> + 1 agonista </w:t>
      </w:r>
      <w:proofErr w:type="spellStart"/>
      <w:r w:rsidRPr="00812D4E">
        <w:rPr>
          <w:rFonts w:cs="Arial"/>
        </w:rPr>
        <w:t>dopaminérgico</w:t>
      </w:r>
      <w:proofErr w:type="spellEnd"/>
      <w:r w:rsidRPr="00812D4E">
        <w:rPr>
          <w:rFonts w:cs="Arial"/>
        </w:rPr>
        <w:t xml:space="preserve"> en dosis máximas (muchas veces con evidencia de efectos adversos neurológicos y/o cardiovasculares atribuidos a la dosis administrada de </w:t>
      </w:r>
      <w:proofErr w:type="spellStart"/>
      <w:r w:rsidRPr="00812D4E">
        <w:rPr>
          <w:rFonts w:cs="Arial"/>
        </w:rPr>
        <w:t>levodopa</w:t>
      </w:r>
      <w:proofErr w:type="spellEnd"/>
      <w:r w:rsidRPr="00812D4E">
        <w:rPr>
          <w:rFonts w:cs="Arial"/>
        </w:rPr>
        <w:t xml:space="preserve">) y que presenten fenómeno </w:t>
      </w:r>
      <w:proofErr w:type="spellStart"/>
      <w:r w:rsidRPr="00812D4E">
        <w:rPr>
          <w:rFonts w:cs="Arial"/>
        </w:rPr>
        <w:t>on</w:t>
      </w:r>
      <w:proofErr w:type="spellEnd"/>
      <w:r w:rsidRPr="00812D4E">
        <w:rPr>
          <w:rFonts w:cs="Arial"/>
        </w:rPr>
        <w:t>-off y fluctuaciones motoras significativas.</w:t>
      </w:r>
    </w:p>
    <w:p w:rsidR="00812D4E" w:rsidRPr="00812D4E" w:rsidRDefault="00812D4E" w:rsidP="00812D4E">
      <w:pPr>
        <w:tabs>
          <w:tab w:val="num" w:pos="720"/>
        </w:tabs>
        <w:ind w:left="720" w:hanging="360"/>
        <w:jc w:val="both"/>
        <w:rPr>
          <w:rFonts w:cs="Arial"/>
          <w:bCs/>
        </w:rPr>
      </w:pPr>
      <w:r w:rsidRPr="00812D4E">
        <w:rPr>
          <w:rFonts w:cs="Arial"/>
          <w:bCs/>
          <w:u w:val="single"/>
        </w:rPr>
        <w:t>Dosis:</w:t>
      </w:r>
      <w:r w:rsidRPr="00812D4E">
        <w:rPr>
          <w:rFonts w:cs="Arial"/>
          <w:bCs/>
        </w:rPr>
        <w:t xml:space="preserve"> inicio 0,125 mg 3 veces al día; mantenimiento 1,5 mg en 3 tomas.</w:t>
      </w:r>
    </w:p>
    <w:p w:rsidR="00812D4E" w:rsidRPr="00812D4E" w:rsidRDefault="00812D4E" w:rsidP="00812D4E">
      <w:pPr>
        <w:tabs>
          <w:tab w:val="left" w:pos="1161"/>
        </w:tabs>
        <w:ind w:left="50"/>
        <w:rPr>
          <w:rFonts w:cs="Arial"/>
        </w:rPr>
      </w:pPr>
    </w:p>
    <w:p w:rsidR="00812D4E" w:rsidRPr="00812D4E" w:rsidRDefault="00812D4E" w:rsidP="00812D4E">
      <w:pPr>
        <w:tabs>
          <w:tab w:val="left" w:pos="1161"/>
        </w:tabs>
        <w:ind w:left="50"/>
        <w:rPr>
          <w:rFonts w:cs="Arial"/>
          <w:b/>
          <w:i/>
          <w:color w:val="00B050"/>
        </w:rPr>
      </w:pPr>
      <w:r w:rsidRPr="00812D4E">
        <w:rPr>
          <w:rFonts w:cs="Arial"/>
          <w:b/>
          <w:i/>
          <w:color w:val="00B050"/>
        </w:rPr>
        <w:t xml:space="preserve">N04BC06  CABERGOLINA  </w:t>
      </w:r>
    </w:p>
    <w:p w:rsidR="00812D4E" w:rsidRPr="00812D4E" w:rsidRDefault="00812D4E" w:rsidP="00396EBC">
      <w:pPr>
        <w:numPr>
          <w:ilvl w:val="0"/>
          <w:numId w:val="78"/>
        </w:numPr>
        <w:spacing w:after="0" w:line="240" w:lineRule="auto"/>
        <w:jc w:val="both"/>
        <w:rPr>
          <w:rFonts w:cs="Arial"/>
          <w:b/>
        </w:rPr>
      </w:pPr>
      <w:r w:rsidRPr="00812D4E">
        <w:rPr>
          <w:rFonts w:cs="Arial"/>
        </w:rPr>
        <w:t>Fármaco de elección para inhibición de la lactancia en puérperas con causales clínicas para indicar la misma.</w:t>
      </w:r>
    </w:p>
    <w:p w:rsidR="00812D4E" w:rsidRPr="00812D4E" w:rsidRDefault="00812D4E" w:rsidP="00396EBC">
      <w:pPr>
        <w:numPr>
          <w:ilvl w:val="0"/>
          <w:numId w:val="78"/>
        </w:numPr>
        <w:spacing w:after="0" w:line="240" w:lineRule="auto"/>
        <w:jc w:val="both"/>
        <w:rPr>
          <w:rFonts w:cs="Arial"/>
          <w:b/>
        </w:rPr>
      </w:pPr>
      <w:r w:rsidRPr="00812D4E">
        <w:rPr>
          <w:rFonts w:cs="Arial"/>
        </w:rPr>
        <w:t xml:space="preserve">Alternativa a la </w:t>
      </w:r>
      <w:proofErr w:type="spellStart"/>
      <w:r w:rsidRPr="00812D4E">
        <w:rPr>
          <w:rFonts w:cs="Arial"/>
        </w:rPr>
        <w:t>bromocriptina</w:t>
      </w:r>
      <w:proofErr w:type="spellEnd"/>
      <w:r w:rsidRPr="00812D4E">
        <w:rPr>
          <w:rFonts w:cs="Arial"/>
        </w:rPr>
        <w:t xml:space="preserve"> en el control de la </w:t>
      </w:r>
      <w:proofErr w:type="spellStart"/>
      <w:r w:rsidRPr="00812D4E">
        <w:rPr>
          <w:rFonts w:cs="Arial"/>
        </w:rPr>
        <w:t>hiperprolactinemia</w:t>
      </w:r>
      <w:proofErr w:type="spellEnd"/>
      <w:r w:rsidRPr="00812D4E">
        <w:rPr>
          <w:rFonts w:cs="Arial"/>
        </w:rPr>
        <w:t xml:space="preserve"> ante fracaso o intolerancia.</w:t>
      </w:r>
    </w:p>
    <w:p w:rsidR="00812D4E" w:rsidRPr="00812D4E" w:rsidRDefault="00812D4E" w:rsidP="00812D4E">
      <w:pPr>
        <w:ind w:left="360"/>
        <w:rPr>
          <w:rFonts w:cs="Arial"/>
        </w:rPr>
      </w:pPr>
      <w:r w:rsidRPr="00812D4E">
        <w:rPr>
          <w:rFonts w:cs="Arial"/>
          <w:u w:val="single"/>
        </w:rPr>
        <w:t>Dosis:</w:t>
      </w:r>
      <w:r w:rsidRPr="00812D4E">
        <w:rPr>
          <w:rFonts w:cs="Arial"/>
        </w:rPr>
        <w:t xml:space="preserve"> inicio 0,25 2 veces por  semana; mantenimiento 0,50 mg 2 veces por semana por vía oral; máxima 2 mg / semana.</w:t>
      </w:r>
    </w:p>
    <w:p w:rsidR="00812D4E" w:rsidRPr="00812D4E" w:rsidRDefault="00812D4E" w:rsidP="00812D4E">
      <w:pPr>
        <w:tabs>
          <w:tab w:val="left" w:pos="1161"/>
        </w:tabs>
        <w:ind w:left="50"/>
        <w:rPr>
          <w:rFonts w:cs="Arial"/>
          <w:b/>
          <w:i/>
          <w:color w:val="00B050"/>
        </w:rPr>
      </w:pPr>
    </w:p>
    <w:p w:rsidR="00812D4E" w:rsidRPr="00812D4E" w:rsidRDefault="00812D4E" w:rsidP="00812D4E">
      <w:pPr>
        <w:tabs>
          <w:tab w:val="left" w:pos="1161"/>
        </w:tabs>
        <w:ind w:left="50"/>
        <w:rPr>
          <w:rFonts w:cs="Arial"/>
          <w:b/>
          <w:i/>
          <w:color w:val="00B050"/>
        </w:rPr>
      </w:pPr>
      <w:r w:rsidRPr="00812D4E">
        <w:rPr>
          <w:rFonts w:cs="Arial"/>
          <w:b/>
          <w:i/>
          <w:color w:val="00B050"/>
        </w:rPr>
        <w:lastRenderedPageBreak/>
        <w:t>N04BX</w:t>
      </w:r>
      <w:r w:rsidRPr="00812D4E">
        <w:rPr>
          <w:rFonts w:cs="Arial"/>
          <w:b/>
          <w:i/>
          <w:color w:val="00B050"/>
        </w:rPr>
        <w:tab/>
        <w:t xml:space="preserve"> OTROS AGENTES DOPAMINERGICOS</w:t>
      </w:r>
    </w:p>
    <w:p w:rsidR="00812D4E" w:rsidRPr="00812D4E" w:rsidRDefault="00812D4E" w:rsidP="00812D4E">
      <w:pPr>
        <w:tabs>
          <w:tab w:val="left" w:pos="1161"/>
        </w:tabs>
        <w:ind w:left="50"/>
        <w:rPr>
          <w:rFonts w:cs="Arial"/>
          <w:b/>
          <w:i/>
          <w:color w:val="00B050"/>
        </w:rPr>
      </w:pPr>
      <w:r w:rsidRPr="00812D4E">
        <w:rPr>
          <w:rFonts w:cs="Arial"/>
          <w:b/>
          <w:i/>
          <w:color w:val="00B050"/>
        </w:rPr>
        <w:t xml:space="preserve">N04BX02 </w:t>
      </w:r>
      <w:r w:rsidRPr="00812D4E">
        <w:rPr>
          <w:rFonts w:cs="Arial"/>
          <w:b/>
          <w:i/>
          <w:color w:val="00B050"/>
        </w:rPr>
        <w:tab/>
        <w:t xml:space="preserve"> ENTACAPONA  </w:t>
      </w:r>
    </w:p>
    <w:p w:rsidR="00812D4E" w:rsidRPr="00812D4E" w:rsidRDefault="00812D4E" w:rsidP="00396EBC">
      <w:pPr>
        <w:numPr>
          <w:ilvl w:val="0"/>
          <w:numId w:val="79"/>
        </w:numPr>
        <w:spacing w:after="0" w:line="240" w:lineRule="auto"/>
        <w:jc w:val="both"/>
        <w:rPr>
          <w:rFonts w:cs="Arial"/>
        </w:rPr>
      </w:pPr>
      <w:r w:rsidRPr="00812D4E">
        <w:rPr>
          <w:rFonts w:cs="Arial"/>
        </w:rPr>
        <w:t xml:space="preserve">Inhibidor de la COMT, indicado en pacientes con enfermedad de Parkinson avanzado en tratamiento crónico con </w:t>
      </w:r>
      <w:proofErr w:type="spellStart"/>
      <w:r w:rsidRPr="00812D4E">
        <w:rPr>
          <w:rFonts w:cs="Arial"/>
        </w:rPr>
        <w:t>levodopa</w:t>
      </w:r>
      <w:proofErr w:type="spellEnd"/>
      <w:r w:rsidRPr="00812D4E">
        <w:rPr>
          <w:rFonts w:cs="Arial"/>
        </w:rPr>
        <w:t xml:space="preserve"> + </w:t>
      </w:r>
      <w:proofErr w:type="spellStart"/>
      <w:r w:rsidRPr="00812D4E">
        <w:rPr>
          <w:rFonts w:cs="Arial"/>
        </w:rPr>
        <w:t>carbidopa</w:t>
      </w:r>
      <w:proofErr w:type="spellEnd"/>
      <w:r w:rsidRPr="00812D4E">
        <w:rPr>
          <w:rFonts w:cs="Arial"/>
        </w:rPr>
        <w:t xml:space="preserve"> en dosis máximas (muchas veces con evidencia de efectos adversos neurológicos y/o cardiovasculares atribuidos a la dosis administrada de </w:t>
      </w:r>
      <w:proofErr w:type="spellStart"/>
      <w:r w:rsidRPr="00812D4E">
        <w:rPr>
          <w:rFonts w:cs="Arial"/>
        </w:rPr>
        <w:t>levodopa</w:t>
      </w:r>
      <w:proofErr w:type="spellEnd"/>
      <w:r w:rsidRPr="00812D4E">
        <w:rPr>
          <w:rFonts w:cs="Arial"/>
        </w:rPr>
        <w:t xml:space="preserve">) y que presenten fenómeno </w:t>
      </w:r>
      <w:proofErr w:type="spellStart"/>
      <w:r w:rsidRPr="00812D4E">
        <w:rPr>
          <w:rFonts w:cs="Arial"/>
        </w:rPr>
        <w:t>on</w:t>
      </w:r>
      <w:proofErr w:type="spellEnd"/>
      <w:r w:rsidRPr="00812D4E">
        <w:rPr>
          <w:rFonts w:cs="Arial"/>
        </w:rPr>
        <w:t>-off y fluctuaciones motoras significativas.</w:t>
      </w:r>
    </w:p>
    <w:p w:rsidR="00812D4E" w:rsidRPr="00812D4E" w:rsidRDefault="00812D4E" w:rsidP="00812D4E">
      <w:pPr>
        <w:tabs>
          <w:tab w:val="num" w:pos="720"/>
        </w:tabs>
        <w:ind w:left="720" w:hanging="360"/>
        <w:jc w:val="both"/>
        <w:rPr>
          <w:rFonts w:cs="Arial"/>
        </w:rPr>
      </w:pPr>
      <w:r w:rsidRPr="00812D4E">
        <w:rPr>
          <w:rFonts w:cs="Arial"/>
        </w:rPr>
        <w:t xml:space="preserve">Dosis: 200 mg con cada administración de </w:t>
      </w:r>
      <w:proofErr w:type="spellStart"/>
      <w:r w:rsidRPr="00812D4E">
        <w:rPr>
          <w:rFonts w:cs="Arial"/>
        </w:rPr>
        <w:t>levodopa</w:t>
      </w:r>
      <w:proofErr w:type="spellEnd"/>
      <w:r w:rsidRPr="00812D4E">
        <w:rPr>
          <w:rFonts w:cs="Arial"/>
        </w:rPr>
        <w:t xml:space="preserve"> + inhibidor, hasta un máximo de 1600 mg/día.</w:t>
      </w:r>
    </w:p>
    <w:p w:rsidR="00812D4E" w:rsidRPr="00812D4E" w:rsidRDefault="00812D4E" w:rsidP="00812D4E">
      <w:pPr>
        <w:tabs>
          <w:tab w:val="left" w:pos="1161"/>
        </w:tabs>
        <w:ind w:left="50"/>
        <w:rPr>
          <w:rFonts w:cs="Arial"/>
        </w:rPr>
      </w:pPr>
    </w:p>
    <w:p w:rsidR="00812D4E" w:rsidRPr="00812D4E" w:rsidRDefault="00812D4E" w:rsidP="00812D4E">
      <w:pPr>
        <w:tabs>
          <w:tab w:val="left" w:pos="1161"/>
        </w:tabs>
        <w:ind w:left="50"/>
        <w:rPr>
          <w:rFonts w:cs="Arial"/>
          <w:b/>
          <w:i/>
          <w:color w:val="00B050"/>
        </w:rPr>
      </w:pPr>
      <w:r w:rsidRPr="00812D4E">
        <w:rPr>
          <w:rFonts w:cs="Arial"/>
          <w:b/>
          <w:i/>
          <w:color w:val="00B050"/>
        </w:rPr>
        <w:t>N05A</w:t>
      </w:r>
      <w:r w:rsidRPr="00812D4E">
        <w:rPr>
          <w:rFonts w:cs="Arial"/>
          <w:b/>
          <w:i/>
          <w:color w:val="00B050"/>
        </w:rPr>
        <w:tab/>
        <w:t>ANTIPSICOTICOS</w:t>
      </w:r>
    </w:p>
    <w:p w:rsidR="00812D4E" w:rsidRPr="00812D4E" w:rsidRDefault="00812D4E" w:rsidP="00812D4E">
      <w:pPr>
        <w:tabs>
          <w:tab w:val="left" w:pos="1161"/>
        </w:tabs>
        <w:ind w:left="50"/>
        <w:rPr>
          <w:rFonts w:cs="Arial"/>
          <w:b/>
          <w:i/>
          <w:color w:val="00B050"/>
        </w:rPr>
      </w:pPr>
      <w:r w:rsidRPr="00812D4E">
        <w:rPr>
          <w:rFonts w:cs="Arial"/>
          <w:b/>
          <w:i/>
          <w:color w:val="00B050"/>
        </w:rPr>
        <w:t>N05AD</w:t>
      </w:r>
      <w:r w:rsidRPr="00812D4E">
        <w:rPr>
          <w:rFonts w:cs="Arial"/>
          <w:b/>
          <w:i/>
          <w:color w:val="00B050"/>
        </w:rPr>
        <w:tab/>
        <w:t>DERIVADOS DE LA BUTIROFENONA</w:t>
      </w:r>
    </w:p>
    <w:p w:rsidR="00812D4E" w:rsidRPr="00812D4E" w:rsidRDefault="00812D4E" w:rsidP="00812D4E">
      <w:pPr>
        <w:tabs>
          <w:tab w:val="left" w:pos="1161"/>
        </w:tabs>
        <w:ind w:left="50"/>
        <w:rPr>
          <w:rFonts w:cs="Arial"/>
          <w:b/>
          <w:i/>
          <w:color w:val="00B050"/>
        </w:rPr>
      </w:pPr>
      <w:r w:rsidRPr="00812D4E">
        <w:rPr>
          <w:rFonts w:cs="Arial"/>
          <w:b/>
          <w:i/>
          <w:color w:val="00B050"/>
        </w:rPr>
        <w:t xml:space="preserve">N05AD06 BROMPERIDOL </w:t>
      </w:r>
    </w:p>
    <w:p w:rsidR="00812D4E" w:rsidRPr="00812D4E" w:rsidRDefault="00812D4E" w:rsidP="00396EBC">
      <w:pPr>
        <w:numPr>
          <w:ilvl w:val="0"/>
          <w:numId w:val="79"/>
        </w:numPr>
        <w:spacing w:after="0" w:line="240" w:lineRule="auto"/>
        <w:jc w:val="both"/>
        <w:rPr>
          <w:rFonts w:cs="Arial"/>
          <w:b/>
        </w:rPr>
      </w:pPr>
      <w:r w:rsidRPr="00812D4E">
        <w:rPr>
          <w:rFonts w:cs="Arial"/>
        </w:rPr>
        <w:t>Alternativa al tratamiento ambulatorio de pacientes tratados con haloperidol que requieren mayor duración de acción de los efectos neurolépticos.</w:t>
      </w:r>
    </w:p>
    <w:p w:rsidR="00812D4E" w:rsidRPr="00812D4E" w:rsidRDefault="00812D4E" w:rsidP="00812D4E">
      <w:pPr>
        <w:tabs>
          <w:tab w:val="num" w:pos="720"/>
        </w:tabs>
        <w:ind w:left="720" w:hanging="360"/>
        <w:jc w:val="both"/>
        <w:rPr>
          <w:rFonts w:cs="Arial"/>
        </w:rPr>
      </w:pPr>
      <w:r w:rsidRPr="00812D4E">
        <w:rPr>
          <w:rFonts w:cs="Arial"/>
          <w:u w:val="single"/>
        </w:rPr>
        <w:t>Dosis:</w:t>
      </w:r>
      <w:r w:rsidRPr="00812D4E">
        <w:rPr>
          <w:rFonts w:cs="Arial"/>
        </w:rPr>
        <w:t xml:space="preserve"> 10-50 mg una vez al día por vía oral, en forma de depósito (</w:t>
      </w:r>
      <w:proofErr w:type="spellStart"/>
      <w:r w:rsidRPr="00812D4E">
        <w:rPr>
          <w:rFonts w:cs="Arial"/>
        </w:rPr>
        <w:t>decanoato</w:t>
      </w:r>
      <w:proofErr w:type="spellEnd"/>
      <w:r w:rsidRPr="00812D4E">
        <w:rPr>
          <w:rFonts w:cs="Arial"/>
        </w:rPr>
        <w:t xml:space="preserve">) 150 mg cada 28 días; máxima 300 mg / mes. </w:t>
      </w:r>
    </w:p>
    <w:p w:rsidR="00812D4E" w:rsidRPr="00812D4E" w:rsidRDefault="00812D4E" w:rsidP="00812D4E">
      <w:pPr>
        <w:rPr>
          <w:rFonts w:cs="Arial"/>
        </w:rPr>
      </w:pPr>
    </w:p>
    <w:p w:rsidR="00812D4E" w:rsidRPr="00812D4E" w:rsidRDefault="00812D4E" w:rsidP="00812D4E">
      <w:pPr>
        <w:tabs>
          <w:tab w:val="left" w:pos="1161"/>
        </w:tabs>
        <w:ind w:left="50"/>
        <w:rPr>
          <w:rFonts w:cs="Arial"/>
          <w:b/>
          <w:i/>
          <w:color w:val="00B050"/>
        </w:rPr>
      </w:pPr>
      <w:r w:rsidRPr="00812D4E">
        <w:rPr>
          <w:rFonts w:cs="Arial"/>
          <w:b/>
          <w:i/>
          <w:color w:val="00B050"/>
        </w:rPr>
        <w:t>N05AG</w:t>
      </w:r>
      <w:r w:rsidRPr="00812D4E">
        <w:rPr>
          <w:rFonts w:cs="Arial"/>
          <w:b/>
          <w:i/>
          <w:color w:val="00B050"/>
        </w:rPr>
        <w:tab/>
        <w:t>DERIVADOS DE LA DIFENILBUTILPIPERIDINA</w:t>
      </w:r>
    </w:p>
    <w:p w:rsidR="00812D4E" w:rsidRPr="00812D4E" w:rsidRDefault="00812D4E" w:rsidP="00812D4E">
      <w:pPr>
        <w:tabs>
          <w:tab w:val="left" w:pos="1161"/>
        </w:tabs>
        <w:ind w:left="50"/>
        <w:rPr>
          <w:rFonts w:cs="Arial"/>
          <w:b/>
          <w:i/>
          <w:color w:val="00B050"/>
        </w:rPr>
      </w:pPr>
      <w:r w:rsidRPr="00812D4E">
        <w:rPr>
          <w:rFonts w:cs="Arial"/>
          <w:b/>
          <w:i/>
          <w:color w:val="00B050"/>
        </w:rPr>
        <w:t>N05AG02</w:t>
      </w:r>
      <w:r w:rsidRPr="00812D4E">
        <w:rPr>
          <w:rFonts w:cs="Arial"/>
          <w:b/>
          <w:i/>
          <w:color w:val="00B050"/>
        </w:rPr>
        <w:tab/>
        <w:t xml:space="preserve">PIMOZIDA </w:t>
      </w:r>
    </w:p>
    <w:p w:rsidR="00812D4E" w:rsidRPr="00812D4E" w:rsidRDefault="00812D4E" w:rsidP="00396EBC">
      <w:pPr>
        <w:numPr>
          <w:ilvl w:val="0"/>
          <w:numId w:val="79"/>
        </w:numPr>
        <w:spacing w:after="0" w:line="240" w:lineRule="auto"/>
        <w:jc w:val="both"/>
        <w:rPr>
          <w:rFonts w:cs="Arial"/>
        </w:rPr>
      </w:pPr>
      <w:r w:rsidRPr="00812D4E">
        <w:rPr>
          <w:rFonts w:cs="Arial"/>
        </w:rPr>
        <w:t xml:space="preserve">Tratamiento de elección en el síndrome de Gilles de la </w:t>
      </w:r>
      <w:proofErr w:type="spellStart"/>
      <w:r w:rsidRPr="00812D4E">
        <w:rPr>
          <w:rFonts w:cs="Arial"/>
        </w:rPr>
        <w:t>Tourette</w:t>
      </w:r>
      <w:proofErr w:type="spellEnd"/>
      <w:r w:rsidRPr="00812D4E">
        <w:rPr>
          <w:rFonts w:cs="Arial"/>
        </w:rPr>
        <w:t xml:space="preserve"> (movimientos estereotipados involuntarios de músculos de la cabeza y cuello en forma de tics repetitivos) en adultos y niños.</w:t>
      </w:r>
    </w:p>
    <w:p w:rsidR="00812D4E" w:rsidRPr="00812D4E" w:rsidRDefault="00812D4E" w:rsidP="00396EBC">
      <w:pPr>
        <w:numPr>
          <w:ilvl w:val="0"/>
          <w:numId w:val="79"/>
        </w:numPr>
        <w:spacing w:after="0" w:line="240" w:lineRule="auto"/>
        <w:jc w:val="both"/>
        <w:rPr>
          <w:rFonts w:cs="Arial"/>
        </w:rPr>
      </w:pPr>
      <w:r w:rsidRPr="00812D4E">
        <w:rPr>
          <w:rFonts w:cs="Arial"/>
        </w:rPr>
        <w:t>Antipsicótico de alternativa prescripto por especialista ante fallo o intolerancia a haloperidol.</w:t>
      </w:r>
    </w:p>
    <w:p w:rsidR="00812D4E" w:rsidRPr="00812D4E" w:rsidRDefault="00812D4E" w:rsidP="00812D4E">
      <w:pPr>
        <w:tabs>
          <w:tab w:val="num" w:pos="720"/>
        </w:tabs>
        <w:ind w:left="720" w:hanging="360"/>
        <w:rPr>
          <w:rFonts w:cs="Arial"/>
        </w:rPr>
      </w:pPr>
      <w:r w:rsidRPr="00812D4E">
        <w:rPr>
          <w:rFonts w:cs="Arial"/>
          <w:u w:val="single"/>
        </w:rPr>
        <w:t>Dosis</w:t>
      </w:r>
      <w:r w:rsidRPr="00812D4E">
        <w:rPr>
          <w:rFonts w:cs="Arial"/>
        </w:rPr>
        <w:t xml:space="preserve">: 1-2 mg/día en 2 tomas; máxima 10 mg/día. </w:t>
      </w:r>
    </w:p>
    <w:p w:rsidR="000D1016" w:rsidRPr="000D1016" w:rsidRDefault="000D1016" w:rsidP="000D1016">
      <w:pPr>
        <w:tabs>
          <w:tab w:val="left" w:pos="1320"/>
        </w:tabs>
        <w:ind w:left="113"/>
        <w:rPr>
          <w:rFonts w:cs="Arial"/>
        </w:rPr>
      </w:pPr>
    </w:p>
    <w:p w:rsidR="000D1016" w:rsidRPr="000D1016" w:rsidRDefault="000D1016" w:rsidP="000D1016">
      <w:pPr>
        <w:tabs>
          <w:tab w:val="left" w:pos="1320"/>
        </w:tabs>
        <w:ind w:left="113"/>
        <w:rPr>
          <w:rFonts w:cs="Arial"/>
          <w:b/>
          <w:i/>
          <w:color w:val="00B050"/>
        </w:rPr>
      </w:pPr>
      <w:r w:rsidRPr="000D1016">
        <w:rPr>
          <w:rFonts w:cs="Arial"/>
          <w:b/>
          <w:i/>
          <w:color w:val="00B050"/>
        </w:rPr>
        <w:t>N05A</w:t>
      </w:r>
      <w:r w:rsidRPr="000D1016">
        <w:rPr>
          <w:rFonts w:cs="Arial"/>
          <w:b/>
          <w:i/>
          <w:color w:val="00B050"/>
        </w:rPr>
        <w:tab/>
        <w:t>ANTIPSICOTICOS</w:t>
      </w:r>
    </w:p>
    <w:p w:rsidR="000D1016" w:rsidRPr="000D1016" w:rsidRDefault="000D1016" w:rsidP="000D1016">
      <w:pPr>
        <w:tabs>
          <w:tab w:val="left" w:pos="1320"/>
        </w:tabs>
        <w:ind w:left="113"/>
        <w:rPr>
          <w:rFonts w:cs="Arial"/>
          <w:b/>
          <w:i/>
          <w:color w:val="00B050"/>
        </w:rPr>
      </w:pPr>
      <w:r w:rsidRPr="000D1016">
        <w:rPr>
          <w:rFonts w:cs="Arial"/>
          <w:b/>
          <w:i/>
          <w:color w:val="00B050"/>
        </w:rPr>
        <w:t>N05AH02</w:t>
      </w:r>
      <w:r w:rsidRPr="000D1016">
        <w:rPr>
          <w:rFonts w:cs="Arial"/>
          <w:b/>
          <w:i/>
          <w:color w:val="00B050"/>
        </w:rPr>
        <w:tab/>
        <w:t xml:space="preserve">CLOZAPINA  </w:t>
      </w:r>
    </w:p>
    <w:p w:rsidR="000D1016" w:rsidRPr="000D1016" w:rsidRDefault="000D1016" w:rsidP="00396EBC">
      <w:pPr>
        <w:numPr>
          <w:ilvl w:val="0"/>
          <w:numId w:val="63"/>
        </w:numPr>
        <w:spacing w:after="0" w:line="240" w:lineRule="auto"/>
        <w:jc w:val="both"/>
        <w:rPr>
          <w:snapToGrid w:val="0"/>
        </w:rPr>
      </w:pPr>
      <w:r w:rsidRPr="000D1016">
        <w:rPr>
          <w:snapToGrid w:val="0"/>
        </w:rPr>
        <w:t>Fármaco de elección para inicio de tratamiento en pacientes jóvenes con manifestaciones negativas de enfermedad, y en adultos sin trastornos cognitivos previos.</w:t>
      </w:r>
    </w:p>
    <w:p w:rsidR="000D1016" w:rsidRPr="000D1016" w:rsidRDefault="000D1016" w:rsidP="00396EBC">
      <w:pPr>
        <w:numPr>
          <w:ilvl w:val="0"/>
          <w:numId w:val="63"/>
        </w:numPr>
        <w:spacing w:after="0" w:line="240" w:lineRule="auto"/>
        <w:jc w:val="both"/>
        <w:rPr>
          <w:snapToGrid w:val="0"/>
        </w:rPr>
      </w:pPr>
      <w:r w:rsidRPr="000D1016">
        <w:rPr>
          <w:snapToGrid w:val="0"/>
        </w:rPr>
        <w:t>Pacientes con trastorno bipolar refractario o como tratamiento adyuvante sumado a litio</w:t>
      </w:r>
    </w:p>
    <w:p w:rsidR="000D1016" w:rsidRPr="000D1016" w:rsidRDefault="000D1016" w:rsidP="00396EBC">
      <w:pPr>
        <w:numPr>
          <w:ilvl w:val="0"/>
          <w:numId w:val="63"/>
        </w:numPr>
        <w:spacing w:after="0" w:line="240" w:lineRule="auto"/>
        <w:jc w:val="both"/>
        <w:rPr>
          <w:snapToGrid w:val="0"/>
        </w:rPr>
      </w:pPr>
      <w:r w:rsidRPr="000D1016">
        <w:rPr>
          <w:snapToGrid w:val="0"/>
        </w:rPr>
        <w:t xml:space="preserve">Pacientes en tratamiento con antipsicóticos típicos que presenten síntomas </w:t>
      </w:r>
      <w:proofErr w:type="spellStart"/>
      <w:r w:rsidRPr="000D1016">
        <w:rPr>
          <w:snapToGrid w:val="0"/>
        </w:rPr>
        <w:t>extrapiramidales</w:t>
      </w:r>
      <w:proofErr w:type="spellEnd"/>
      <w:r w:rsidRPr="000D1016">
        <w:rPr>
          <w:snapToGrid w:val="0"/>
        </w:rPr>
        <w:t xml:space="preserve"> no controlados y/o disquinesias tardías</w:t>
      </w:r>
    </w:p>
    <w:p w:rsidR="000D1016" w:rsidRPr="000D1016" w:rsidRDefault="000D1016" w:rsidP="00396EBC">
      <w:pPr>
        <w:numPr>
          <w:ilvl w:val="0"/>
          <w:numId w:val="63"/>
        </w:numPr>
        <w:spacing w:after="0" w:line="240" w:lineRule="auto"/>
        <w:jc w:val="both"/>
        <w:rPr>
          <w:snapToGrid w:val="0"/>
        </w:rPr>
      </w:pPr>
      <w:r w:rsidRPr="000D1016">
        <w:rPr>
          <w:snapToGrid w:val="0"/>
        </w:rPr>
        <w:t>Pacientes con psicosis (esquizofrenia en sus distintas formas clínicas), refractarios antipsicóticos típicos.</w:t>
      </w:r>
    </w:p>
    <w:p w:rsidR="000D1016" w:rsidRPr="000D1016" w:rsidRDefault="000D1016" w:rsidP="000D1016">
      <w:pPr>
        <w:ind w:left="360"/>
        <w:jc w:val="both"/>
        <w:rPr>
          <w:snapToGrid w:val="0"/>
        </w:rPr>
      </w:pPr>
      <w:r w:rsidRPr="000D1016">
        <w:rPr>
          <w:snapToGrid w:val="0"/>
          <w:u w:val="single"/>
        </w:rPr>
        <w:t>Dosis:</w:t>
      </w:r>
      <w:r w:rsidRPr="000D1016">
        <w:rPr>
          <w:snapToGrid w:val="0"/>
        </w:rPr>
        <w:t xml:space="preserve"> inicial: 12,5-25 mg/día en 2 tomas; mantenimiento: 300-450 mg/día en 2 tomas; máxima: 900 mg/día.</w:t>
      </w:r>
    </w:p>
    <w:p w:rsidR="000D1016" w:rsidRPr="000D1016" w:rsidRDefault="000D1016" w:rsidP="000D1016">
      <w:pPr>
        <w:ind w:left="360"/>
        <w:jc w:val="both"/>
        <w:rPr>
          <w:snapToGrid w:val="0"/>
        </w:rPr>
      </w:pPr>
      <w:r w:rsidRPr="000D1016">
        <w:rPr>
          <w:snapToGrid w:val="0"/>
          <w:u w:val="single"/>
        </w:rPr>
        <w:lastRenderedPageBreak/>
        <w:t>Importante</w:t>
      </w:r>
      <w:r w:rsidRPr="000D1016">
        <w:rPr>
          <w:snapToGrid w:val="0"/>
        </w:rPr>
        <w:t xml:space="preserve">: fármaco de </w:t>
      </w:r>
      <w:proofErr w:type="spellStart"/>
      <w:r w:rsidRPr="000D1016">
        <w:rPr>
          <w:snapToGrid w:val="0"/>
        </w:rPr>
        <w:t>farmacovigilancia</w:t>
      </w:r>
      <w:proofErr w:type="spellEnd"/>
      <w:r w:rsidRPr="000D1016">
        <w:rPr>
          <w:snapToGrid w:val="0"/>
        </w:rPr>
        <w:t xml:space="preserve"> intensiva con obligatoriedad de control hematológico por la frecuencia con que produce leucopenia (más del 1% de los expuestos).</w:t>
      </w:r>
    </w:p>
    <w:p w:rsidR="000D1016" w:rsidRPr="000D1016" w:rsidRDefault="000D1016" w:rsidP="000D1016">
      <w:pPr>
        <w:tabs>
          <w:tab w:val="left" w:pos="1320"/>
        </w:tabs>
        <w:ind w:left="113"/>
        <w:rPr>
          <w:rFonts w:cs="Arial"/>
        </w:rPr>
      </w:pPr>
    </w:p>
    <w:p w:rsidR="000D1016" w:rsidRPr="000D1016" w:rsidRDefault="000D1016" w:rsidP="000D1016">
      <w:pPr>
        <w:tabs>
          <w:tab w:val="left" w:pos="1320"/>
        </w:tabs>
        <w:ind w:left="113"/>
        <w:rPr>
          <w:rFonts w:cs="Arial"/>
          <w:b/>
          <w:i/>
          <w:color w:val="00B050"/>
        </w:rPr>
      </w:pPr>
      <w:r w:rsidRPr="000D1016">
        <w:rPr>
          <w:rFonts w:cs="Arial"/>
          <w:b/>
          <w:i/>
          <w:color w:val="00B050"/>
        </w:rPr>
        <w:t>N05AX</w:t>
      </w:r>
      <w:r w:rsidRPr="000D1016">
        <w:rPr>
          <w:rFonts w:cs="Arial"/>
          <w:b/>
          <w:i/>
          <w:color w:val="00B050"/>
        </w:rPr>
        <w:tab/>
        <w:t>OTROS ANTIPSICOTICOS</w:t>
      </w:r>
    </w:p>
    <w:p w:rsidR="000D1016" w:rsidRPr="000D1016" w:rsidRDefault="000D1016" w:rsidP="000D1016">
      <w:pPr>
        <w:tabs>
          <w:tab w:val="left" w:pos="1320"/>
        </w:tabs>
        <w:ind w:left="113"/>
        <w:rPr>
          <w:rFonts w:cs="Arial"/>
          <w:b/>
          <w:i/>
          <w:color w:val="00B050"/>
        </w:rPr>
      </w:pPr>
      <w:r w:rsidRPr="000D1016">
        <w:rPr>
          <w:rFonts w:cs="Arial"/>
          <w:b/>
          <w:i/>
          <w:color w:val="00B050"/>
        </w:rPr>
        <w:t>N05AX08</w:t>
      </w:r>
      <w:r w:rsidRPr="000D1016">
        <w:rPr>
          <w:rFonts w:cs="Arial"/>
          <w:b/>
          <w:i/>
          <w:color w:val="00B050"/>
        </w:rPr>
        <w:tab/>
        <w:t xml:space="preserve">RISPERIDONA </w:t>
      </w:r>
    </w:p>
    <w:p w:rsidR="000D1016" w:rsidRPr="000D1016" w:rsidRDefault="000D1016" w:rsidP="00396EBC">
      <w:pPr>
        <w:numPr>
          <w:ilvl w:val="0"/>
          <w:numId w:val="64"/>
        </w:numPr>
        <w:spacing w:after="0" w:line="240" w:lineRule="auto"/>
        <w:jc w:val="both"/>
        <w:rPr>
          <w:snapToGrid w:val="0"/>
        </w:rPr>
      </w:pPr>
      <w:r w:rsidRPr="000D1016">
        <w:rPr>
          <w:snapToGrid w:val="0"/>
        </w:rPr>
        <w:t xml:space="preserve">Pacientes en tratamiento con antipsicóticos típicos que presenten síntomas </w:t>
      </w:r>
      <w:proofErr w:type="spellStart"/>
      <w:r w:rsidRPr="000D1016">
        <w:rPr>
          <w:snapToGrid w:val="0"/>
        </w:rPr>
        <w:t>extrapiramidales</w:t>
      </w:r>
      <w:proofErr w:type="spellEnd"/>
      <w:r w:rsidRPr="000D1016">
        <w:rPr>
          <w:snapToGrid w:val="0"/>
        </w:rPr>
        <w:t xml:space="preserve"> no controlados y/o disquinesias tardías. Dosis: 2-4 mg/día en 2 tomas; máximo: 8 mg/día en cuadros severos.</w:t>
      </w:r>
    </w:p>
    <w:p w:rsidR="000D1016" w:rsidRPr="000D1016" w:rsidRDefault="000D1016" w:rsidP="00396EBC">
      <w:pPr>
        <w:numPr>
          <w:ilvl w:val="0"/>
          <w:numId w:val="64"/>
        </w:numPr>
        <w:spacing w:after="0" w:line="240" w:lineRule="auto"/>
        <w:jc w:val="both"/>
        <w:rPr>
          <w:snapToGrid w:val="0"/>
        </w:rPr>
      </w:pPr>
      <w:r w:rsidRPr="000D1016">
        <w:rPr>
          <w:snapToGrid w:val="0"/>
        </w:rPr>
        <w:t xml:space="preserve">Pacientes con síntomas positivos o negativos que no responden a antipsicóticos típicos. Dosis: 2-4 mg/día en 2 tomas; máximo: 8 mg/día en cuadros severos. </w:t>
      </w:r>
    </w:p>
    <w:p w:rsidR="000D1016" w:rsidRPr="000D1016" w:rsidRDefault="000D1016" w:rsidP="000D1016">
      <w:pPr>
        <w:tabs>
          <w:tab w:val="num" w:pos="720"/>
        </w:tabs>
        <w:ind w:left="720" w:hanging="360"/>
        <w:jc w:val="both"/>
        <w:rPr>
          <w:snapToGrid w:val="0"/>
        </w:rPr>
      </w:pPr>
      <w:r w:rsidRPr="000D1016">
        <w:rPr>
          <w:snapToGrid w:val="0"/>
          <w:u w:val="single"/>
        </w:rPr>
        <w:t>Nota:</w:t>
      </w:r>
      <w:r w:rsidRPr="000D1016">
        <w:rPr>
          <w:snapToGrid w:val="0"/>
        </w:rPr>
        <w:t xml:space="preserve"> dosis de 12 mg/ día en 2 tomas no mostraron mayor eficacia en el trastorno bipolar y la esquizofrenia.</w:t>
      </w:r>
    </w:p>
    <w:p w:rsidR="000D1016" w:rsidRPr="000D1016" w:rsidRDefault="000D1016" w:rsidP="000D1016">
      <w:pPr>
        <w:tabs>
          <w:tab w:val="left" w:pos="1320"/>
        </w:tabs>
        <w:ind w:left="113"/>
        <w:rPr>
          <w:rFonts w:cs="Arial"/>
        </w:rPr>
      </w:pPr>
    </w:p>
    <w:tbl>
      <w:tblPr>
        <w:tblW w:w="9060" w:type="dxa"/>
        <w:tblCellMar>
          <w:left w:w="70" w:type="dxa"/>
          <w:right w:w="70" w:type="dxa"/>
        </w:tblCellMar>
        <w:tblLook w:val="04A0" w:firstRow="1" w:lastRow="0" w:firstColumn="1" w:lastColumn="0" w:noHBand="0" w:noVBand="1"/>
      </w:tblPr>
      <w:tblGrid>
        <w:gridCol w:w="1134"/>
        <w:gridCol w:w="7926"/>
      </w:tblGrid>
      <w:tr w:rsidR="00A77B9E" w:rsidRPr="002D0CF6" w:rsidTr="00B90C9A">
        <w:trPr>
          <w:trHeight w:val="300"/>
        </w:trPr>
        <w:tc>
          <w:tcPr>
            <w:tcW w:w="1134" w:type="dxa"/>
            <w:tcBorders>
              <w:top w:val="nil"/>
              <w:left w:val="nil"/>
              <w:bottom w:val="nil"/>
              <w:right w:val="nil"/>
            </w:tcBorders>
            <w:shd w:val="clear" w:color="auto" w:fill="auto"/>
            <w:noWrap/>
            <w:vAlign w:val="bottom"/>
            <w:hideMark/>
          </w:tcPr>
          <w:p w:rsidR="00A77B9E" w:rsidRPr="00C06B48" w:rsidRDefault="00A77B9E" w:rsidP="00B90C9A">
            <w:pPr>
              <w:spacing w:after="0" w:line="240" w:lineRule="auto"/>
              <w:rPr>
                <w:b/>
                <w:i/>
                <w:color w:val="00B050"/>
              </w:rPr>
            </w:pPr>
            <w:r w:rsidRPr="00C06B48">
              <w:rPr>
                <w:b/>
                <w:i/>
                <w:color w:val="00B050"/>
              </w:rPr>
              <w:t>N05AH02</w:t>
            </w:r>
          </w:p>
        </w:tc>
        <w:tc>
          <w:tcPr>
            <w:tcW w:w="7926" w:type="dxa"/>
            <w:tcBorders>
              <w:top w:val="nil"/>
              <w:left w:val="nil"/>
              <w:bottom w:val="nil"/>
              <w:right w:val="nil"/>
            </w:tcBorders>
            <w:shd w:val="clear" w:color="auto" w:fill="auto"/>
            <w:noWrap/>
            <w:vAlign w:val="center"/>
            <w:hideMark/>
          </w:tcPr>
          <w:p w:rsidR="00A77B9E" w:rsidRPr="00C06B48" w:rsidRDefault="00A77B9E" w:rsidP="00B90C9A">
            <w:pPr>
              <w:spacing w:after="0" w:line="240" w:lineRule="auto"/>
              <w:rPr>
                <w:b/>
                <w:i/>
                <w:color w:val="00B050"/>
              </w:rPr>
            </w:pPr>
            <w:r w:rsidRPr="00C06B48">
              <w:rPr>
                <w:b/>
                <w:i/>
                <w:color w:val="00B050"/>
              </w:rPr>
              <w:t>CLOZAPINA</w:t>
            </w:r>
          </w:p>
        </w:tc>
      </w:tr>
    </w:tbl>
    <w:p w:rsidR="00A77B9E" w:rsidRDefault="00A77B9E" w:rsidP="00A77B9E">
      <w:pPr>
        <w:jc w:val="both"/>
        <w:rPr>
          <w:b/>
          <w:i/>
          <w:color w:val="1F3864" w:themeColor="accent1" w:themeShade="80"/>
        </w:rPr>
      </w:pPr>
    </w:p>
    <w:p w:rsidR="00A77B9E" w:rsidRPr="00210523" w:rsidRDefault="00A77B9E" w:rsidP="005A466E">
      <w:pPr>
        <w:pStyle w:val="Prrafodelista"/>
        <w:numPr>
          <w:ilvl w:val="0"/>
          <w:numId w:val="11"/>
        </w:numPr>
        <w:jc w:val="both"/>
        <w:rPr>
          <w:b/>
          <w:i/>
          <w:color w:val="1F3864" w:themeColor="accent1" w:themeShade="80"/>
        </w:rPr>
      </w:pPr>
      <w:r>
        <w:t xml:space="preserve">Tratamiento farmacológico de pacientes esquizofrénicos resistentes a tratamiento y en pacientes esquizofrénicos que presenten reacciones adversas neurológicas graves y no tratables con otros fármacos antipsicóticos, incluyendo un antipsicótico atípico. </w:t>
      </w:r>
    </w:p>
    <w:p w:rsidR="00A77B9E" w:rsidRPr="00210523" w:rsidRDefault="00A77B9E" w:rsidP="00A77B9E">
      <w:pPr>
        <w:pStyle w:val="Prrafodelista"/>
        <w:ind w:left="1815"/>
        <w:jc w:val="both"/>
        <w:rPr>
          <w:b/>
          <w:i/>
          <w:color w:val="1F3864" w:themeColor="accent1" w:themeShade="80"/>
        </w:rPr>
      </w:pPr>
      <w:r>
        <w:t xml:space="preserve">La resistencia al tratamiento se define como la </w:t>
      </w:r>
      <w:r w:rsidRPr="00BD07F6">
        <w:rPr>
          <w:u w:val="single"/>
        </w:rPr>
        <w:t>ausencia de mejoría clínica satisfactoria a pesar de haber utilizado como mínimo dos tratamientos diferentes con antipsicóticos, incluyendo un antipsicótico atípico</w:t>
      </w:r>
      <w:r>
        <w:t xml:space="preserve">, a las dosis adecuadas y durante el tiempo adecuado. </w:t>
      </w:r>
    </w:p>
    <w:p w:rsidR="00A77B9E" w:rsidRPr="00DB074F" w:rsidRDefault="00A77B9E" w:rsidP="005A466E">
      <w:pPr>
        <w:pStyle w:val="Prrafodelista"/>
        <w:numPr>
          <w:ilvl w:val="0"/>
          <w:numId w:val="11"/>
        </w:numPr>
        <w:jc w:val="both"/>
        <w:rPr>
          <w:b/>
          <w:i/>
          <w:color w:val="1F3864" w:themeColor="accent1" w:themeShade="80"/>
        </w:rPr>
      </w:pPr>
      <w:r>
        <w:t xml:space="preserve">Tratamiento farmacológico de trastornos psicóticos que aparecen en el curso de la enfermedad de Parkinson, en los casos en los que haya fallado el tratamiento estándar. </w:t>
      </w:r>
    </w:p>
    <w:p w:rsidR="00A77B9E" w:rsidRPr="00DB074F" w:rsidRDefault="00A77B9E" w:rsidP="00A77B9E">
      <w:pPr>
        <w:pStyle w:val="Prrafodelista"/>
        <w:ind w:left="1815"/>
        <w:jc w:val="both"/>
        <w:rPr>
          <w:u w:val="single"/>
        </w:rPr>
      </w:pPr>
      <w:r w:rsidRPr="00DB074F">
        <w:rPr>
          <w:u w:val="single"/>
        </w:rPr>
        <w:t xml:space="preserve">Importante:  </w:t>
      </w:r>
      <w:r>
        <w:t xml:space="preserve">El inicio del tratamiento con clozapina </w:t>
      </w:r>
      <w:r w:rsidRPr="00BD07F6">
        <w:rPr>
          <w:u w:val="single"/>
        </w:rPr>
        <w:t>se restringirá a aquellos pacientes con recuento leucocitario</w:t>
      </w:r>
      <w:r>
        <w:t xml:space="preserve"> </w:t>
      </w:r>
      <w:r>
        <w:sym w:font="Symbol" w:char="F0B3"/>
      </w:r>
      <w:r>
        <w:t xml:space="preserve"> 3500/mm3 (3,5x109 /l) y un recuento absoluto de neutrófilos </w:t>
      </w:r>
      <w:r>
        <w:sym w:font="Symbol" w:char="F0B3"/>
      </w:r>
      <w:r>
        <w:t xml:space="preserve"> 2000/mm3 (2,0x109 /l) dentro de los límites normales estandarizados. </w:t>
      </w:r>
    </w:p>
    <w:p w:rsidR="00A77B9E" w:rsidRDefault="00A77B9E" w:rsidP="00A77B9E">
      <w:pPr>
        <w:pStyle w:val="Prrafodelista"/>
        <w:ind w:left="1815"/>
        <w:jc w:val="both"/>
      </w:pPr>
      <w:r w:rsidRPr="00807E99">
        <w:rPr>
          <w:u w:val="single"/>
        </w:rPr>
        <w:t xml:space="preserve">Dosis: </w:t>
      </w:r>
      <w:r>
        <w:rPr>
          <w:u w:val="single"/>
        </w:rPr>
        <w:t xml:space="preserve"> </w:t>
      </w:r>
      <w:r>
        <w:t xml:space="preserve">12,5 mg una o dos veces el primer día, seguido de 25 mg una o dos veces el segundo día. Si se tolera bien, la dosis diaria puede entonces aumentarse lentamente en incrementos de 25 mg a 50 mg con el fin de alcanzar una dosis de </w:t>
      </w:r>
      <w:r w:rsidRPr="00F73366">
        <w:rPr>
          <w:u w:val="single"/>
        </w:rPr>
        <w:t xml:space="preserve">hasta 300 mg/día en 2 </w:t>
      </w:r>
      <w:proofErr w:type="spellStart"/>
      <w:r w:rsidRPr="00F73366">
        <w:rPr>
          <w:u w:val="single"/>
        </w:rPr>
        <w:t>ó</w:t>
      </w:r>
      <w:proofErr w:type="spellEnd"/>
      <w:r w:rsidRPr="00F73366">
        <w:rPr>
          <w:u w:val="single"/>
        </w:rPr>
        <w:t xml:space="preserve"> 3 semanas.</w:t>
      </w:r>
      <w:r>
        <w:t xml:space="preserve"> </w:t>
      </w:r>
    </w:p>
    <w:p w:rsidR="00A77B9E" w:rsidRDefault="00A77B9E" w:rsidP="00A77B9E">
      <w:pPr>
        <w:pStyle w:val="Prrafodelista"/>
        <w:ind w:left="1815"/>
        <w:jc w:val="both"/>
      </w:pPr>
      <w:r>
        <w:t xml:space="preserve">La dosis diaria puede aumentarse en incrementos de 50 mg a 100 mg cada media semana o preferiblemente a intervalos semanales. </w:t>
      </w:r>
    </w:p>
    <w:p w:rsidR="00A77B9E" w:rsidRDefault="00A77B9E" w:rsidP="00A77B9E">
      <w:pPr>
        <w:pStyle w:val="Prrafodelista"/>
        <w:ind w:left="1815"/>
        <w:jc w:val="both"/>
      </w:pPr>
      <w:r>
        <w:t xml:space="preserve">En la mayoría de los pacientes, puede esperarse eficacia antipsicótica con una dosis de </w:t>
      </w:r>
      <w:r w:rsidRPr="00F73366">
        <w:rPr>
          <w:u w:val="single"/>
        </w:rPr>
        <w:t>200 a 450 mg/día</w:t>
      </w:r>
      <w:r>
        <w:t xml:space="preserve"> administrados </w:t>
      </w:r>
      <w:r w:rsidRPr="00F73366">
        <w:rPr>
          <w:u w:val="single"/>
        </w:rPr>
        <w:t>en tomas divididas.</w:t>
      </w:r>
      <w:r>
        <w:t xml:space="preserve"> </w:t>
      </w:r>
    </w:p>
    <w:p w:rsidR="00A77B9E" w:rsidRDefault="00A77B9E" w:rsidP="00A77B9E">
      <w:pPr>
        <w:pStyle w:val="Prrafodelista"/>
        <w:ind w:left="2610"/>
        <w:rPr>
          <w:u w:val="single"/>
        </w:rPr>
      </w:pPr>
    </w:p>
    <w:tbl>
      <w:tblPr>
        <w:tblW w:w="9060" w:type="dxa"/>
        <w:tblCellMar>
          <w:left w:w="70" w:type="dxa"/>
          <w:right w:w="70" w:type="dxa"/>
        </w:tblCellMar>
        <w:tblLook w:val="04A0" w:firstRow="1" w:lastRow="0" w:firstColumn="1" w:lastColumn="0" w:noHBand="0" w:noVBand="1"/>
      </w:tblPr>
      <w:tblGrid>
        <w:gridCol w:w="1134"/>
        <w:gridCol w:w="7926"/>
      </w:tblGrid>
      <w:tr w:rsidR="00A77B9E" w:rsidRPr="002D0CF6" w:rsidTr="00B90C9A">
        <w:trPr>
          <w:trHeight w:val="300"/>
        </w:trPr>
        <w:tc>
          <w:tcPr>
            <w:tcW w:w="1134" w:type="dxa"/>
            <w:tcBorders>
              <w:top w:val="nil"/>
              <w:left w:val="nil"/>
              <w:bottom w:val="nil"/>
              <w:right w:val="nil"/>
            </w:tcBorders>
            <w:shd w:val="clear" w:color="auto" w:fill="auto"/>
            <w:noWrap/>
            <w:vAlign w:val="bottom"/>
            <w:hideMark/>
          </w:tcPr>
          <w:p w:rsidR="00A77B9E" w:rsidRPr="00BC064C" w:rsidRDefault="00A77B9E" w:rsidP="00B90C9A">
            <w:pPr>
              <w:spacing w:after="0" w:line="240" w:lineRule="auto"/>
              <w:rPr>
                <w:b/>
                <w:i/>
                <w:color w:val="00B050"/>
              </w:rPr>
            </w:pPr>
            <w:r w:rsidRPr="00BC064C">
              <w:rPr>
                <w:b/>
                <w:i/>
                <w:color w:val="00B050"/>
              </w:rPr>
              <w:t>N05AH03</w:t>
            </w:r>
          </w:p>
        </w:tc>
        <w:tc>
          <w:tcPr>
            <w:tcW w:w="7926" w:type="dxa"/>
            <w:tcBorders>
              <w:top w:val="nil"/>
              <w:left w:val="nil"/>
              <w:bottom w:val="nil"/>
              <w:right w:val="nil"/>
            </w:tcBorders>
            <w:shd w:val="clear" w:color="auto" w:fill="auto"/>
            <w:noWrap/>
            <w:vAlign w:val="center"/>
            <w:hideMark/>
          </w:tcPr>
          <w:p w:rsidR="00A77B9E" w:rsidRPr="00BC064C" w:rsidRDefault="00A77B9E" w:rsidP="00B90C9A">
            <w:pPr>
              <w:spacing w:after="0" w:line="240" w:lineRule="auto"/>
              <w:rPr>
                <w:b/>
                <w:i/>
                <w:color w:val="00B050"/>
              </w:rPr>
            </w:pPr>
            <w:r w:rsidRPr="00BC064C">
              <w:rPr>
                <w:b/>
                <w:i/>
                <w:color w:val="00B050"/>
              </w:rPr>
              <w:t>OLANZAPINA</w:t>
            </w:r>
          </w:p>
        </w:tc>
      </w:tr>
    </w:tbl>
    <w:p w:rsidR="00A77B9E" w:rsidRDefault="00A77B9E" w:rsidP="00A77B9E">
      <w:pPr>
        <w:jc w:val="both"/>
        <w:rPr>
          <w:b/>
          <w:i/>
          <w:color w:val="1F3864" w:themeColor="accent1" w:themeShade="80"/>
        </w:rPr>
      </w:pPr>
    </w:p>
    <w:p w:rsidR="00A77B9E" w:rsidRPr="008D227B" w:rsidRDefault="00A77B9E" w:rsidP="005A466E">
      <w:pPr>
        <w:pStyle w:val="Prrafodelista"/>
        <w:numPr>
          <w:ilvl w:val="0"/>
          <w:numId w:val="11"/>
        </w:numPr>
        <w:jc w:val="both"/>
        <w:rPr>
          <w:b/>
          <w:i/>
          <w:color w:val="1F3864" w:themeColor="accent1" w:themeShade="80"/>
        </w:rPr>
      </w:pPr>
      <w:bookmarkStart w:id="11" w:name="_Hlk520070972"/>
      <w:r>
        <w:lastRenderedPageBreak/>
        <w:t xml:space="preserve">Tratamiento farmacológico de la esquizofrenia cuando se requiera de un </w:t>
      </w:r>
      <w:r w:rsidRPr="008D227B">
        <w:rPr>
          <w:u w:val="single"/>
        </w:rPr>
        <w:t>antipsicótico atípico</w:t>
      </w:r>
      <w:r>
        <w:t xml:space="preserve">. </w:t>
      </w:r>
    </w:p>
    <w:bookmarkEnd w:id="11"/>
    <w:p w:rsidR="00A77B9E" w:rsidRDefault="00A77B9E" w:rsidP="00A77B9E">
      <w:pPr>
        <w:pStyle w:val="Prrafodelista"/>
        <w:ind w:left="1815"/>
        <w:jc w:val="both"/>
        <w:rPr>
          <w:u w:val="single"/>
        </w:rPr>
      </w:pPr>
      <w:r>
        <w:t xml:space="preserve">La olanzapina es efectiva en el mantenimiento de la mejoría clínica durante la terapia de continuación en los </w:t>
      </w:r>
      <w:r w:rsidRPr="002E5881">
        <w:rPr>
          <w:u w:val="single"/>
        </w:rPr>
        <w:t xml:space="preserve">pacientes que muestran una respuesta inicial al tratamiento. </w:t>
      </w:r>
    </w:p>
    <w:p w:rsidR="00A77B9E" w:rsidRPr="002E5881" w:rsidRDefault="00A77B9E" w:rsidP="00A77B9E">
      <w:pPr>
        <w:pStyle w:val="Prrafodelista"/>
        <w:ind w:left="1815"/>
        <w:jc w:val="both"/>
        <w:rPr>
          <w:u w:val="single"/>
        </w:rPr>
      </w:pPr>
      <w:r w:rsidRPr="008D227B">
        <w:rPr>
          <w:u w:val="single"/>
        </w:rPr>
        <w:t>Dosis</w:t>
      </w:r>
      <w:r>
        <w:t>: la dosis inicial recomendada es de 10 mg/día</w:t>
      </w:r>
    </w:p>
    <w:p w:rsidR="00A77B9E" w:rsidRPr="008D227B" w:rsidRDefault="00A77B9E" w:rsidP="005A466E">
      <w:pPr>
        <w:pStyle w:val="Prrafodelista"/>
        <w:numPr>
          <w:ilvl w:val="0"/>
          <w:numId w:val="11"/>
        </w:numPr>
        <w:jc w:val="both"/>
        <w:rPr>
          <w:b/>
          <w:i/>
          <w:color w:val="1F3864" w:themeColor="accent1" w:themeShade="80"/>
        </w:rPr>
      </w:pPr>
      <w:r>
        <w:t xml:space="preserve">Tratamiento del episodio maníaco de moderado a grave. </w:t>
      </w:r>
    </w:p>
    <w:p w:rsidR="00A77B9E" w:rsidRPr="002E5881" w:rsidRDefault="00A77B9E" w:rsidP="00A77B9E">
      <w:pPr>
        <w:pStyle w:val="Prrafodelista"/>
        <w:ind w:left="1815"/>
        <w:jc w:val="both"/>
        <w:rPr>
          <w:u w:val="single"/>
        </w:rPr>
      </w:pPr>
      <w:r w:rsidRPr="008D227B">
        <w:rPr>
          <w:u w:val="single"/>
        </w:rPr>
        <w:t>Dosis</w:t>
      </w:r>
      <w:r>
        <w:t xml:space="preserve">: la dosis inicial recomendada es de 15 mg/día en monoterapia y de 10 mg/día en tratamientos en combinación. </w:t>
      </w:r>
    </w:p>
    <w:p w:rsidR="00A77B9E" w:rsidRPr="009D7E24" w:rsidRDefault="00A77B9E" w:rsidP="005A466E">
      <w:pPr>
        <w:pStyle w:val="Prrafodelista"/>
        <w:numPr>
          <w:ilvl w:val="0"/>
          <w:numId w:val="11"/>
        </w:numPr>
        <w:jc w:val="both"/>
        <w:rPr>
          <w:b/>
          <w:i/>
          <w:color w:val="1F3864" w:themeColor="accent1" w:themeShade="80"/>
        </w:rPr>
      </w:pPr>
      <w:r>
        <w:t xml:space="preserve">Prevención de las recaídas en pacientes que presentan trastorno bipolar que hayan respondido al tratamiento con olanzapina durante el episodio maníaco. </w:t>
      </w:r>
    </w:p>
    <w:p w:rsidR="00A77B9E" w:rsidRPr="002E5881" w:rsidRDefault="00A77B9E" w:rsidP="00A77B9E">
      <w:pPr>
        <w:pStyle w:val="Prrafodelista"/>
        <w:ind w:left="1815"/>
        <w:jc w:val="both"/>
        <w:rPr>
          <w:u w:val="single"/>
        </w:rPr>
      </w:pPr>
      <w:r w:rsidRPr="008D227B">
        <w:rPr>
          <w:u w:val="single"/>
        </w:rPr>
        <w:t>Dosis</w:t>
      </w:r>
      <w:r>
        <w:t>: la dosis inicial recomendada es de 10 mg/día</w:t>
      </w:r>
    </w:p>
    <w:p w:rsidR="00C06B48" w:rsidRDefault="00C06B48" w:rsidP="00A77B9E">
      <w:pPr>
        <w:jc w:val="both"/>
        <w:rPr>
          <w:b/>
          <w:i/>
          <w:color w:val="00B050"/>
        </w:rPr>
      </w:pPr>
    </w:p>
    <w:p w:rsidR="00A77B9E" w:rsidRPr="003A42F3" w:rsidRDefault="00A77B9E" w:rsidP="00A77B9E">
      <w:pPr>
        <w:jc w:val="both"/>
        <w:rPr>
          <w:b/>
          <w:i/>
          <w:color w:val="00B050"/>
        </w:rPr>
      </w:pPr>
      <w:r w:rsidRPr="003A42F3">
        <w:rPr>
          <w:b/>
          <w:i/>
          <w:color w:val="00B050"/>
        </w:rPr>
        <w:t xml:space="preserve">N05AH04 QUETIAPINA ORAL – 300 y 400 mg </w:t>
      </w:r>
    </w:p>
    <w:p w:rsidR="00A77B9E" w:rsidRPr="003A42F3" w:rsidRDefault="00A77B9E" w:rsidP="005A466E">
      <w:pPr>
        <w:pStyle w:val="Prrafodelista"/>
        <w:numPr>
          <w:ilvl w:val="0"/>
          <w:numId w:val="11"/>
        </w:numPr>
        <w:jc w:val="both"/>
        <w:rPr>
          <w:b/>
          <w:i/>
          <w:color w:val="1F3864" w:themeColor="accent1" w:themeShade="80"/>
        </w:rPr>
      </w:pPr>
      <w:r w:rsidRPr="003A42F3">
        <w:t xml:space="preserve">Tratamiento farmacológico de la esquizofrenia cuando se requiera de un antipsicótico atípico. </w:t>
      </w:r>
    </w:p>
    <w:p w:rsidR="00A77B9E" w:rsidRPr="003A42F3" w:rsidRDefault="00A77B9E" w:rsidP="00A77B9E">
      <w:pPr>
        <w:pStyle w:val="Prrafodelista"/>
        <w:ind w:left="1815"/>
        <w:jc w:val="both"/>
      </w:pPr>
      <w:r w:rsidRPr="003A42F3">
        <w:rPr>
          <w:u w:val="single"/>
        </w:rPr>
        <w:t xml:space="preserve">Dosis: </w:t>
      </w:r>
      <w:r w:rsidRPr="003A42F3">
        <w:t>con escalada de 50mg/día (primera toma) duplicando hasta el 4º día. La dosis efectiva habitual de 300 a 450 mg/día</w:t>
      </w:r>
    </w:p>
    <w:p w:rsidR="00A77B9E" w:rsidRPr="003A42F3" w:rsidRDefault="00A77B9E" w:rsidP="005A466E">
      <w:pPr>
        <w:pStyle w:val="Prrafodelista"/>
        <w:numPr>
          <w:ilvl w:val="0"/>
          <w:numId w:val="11"/>
        </w:numPr>
        <w:jc w:val="both"/>
        <w:rPr>
          <w:b/>
          <w:i/>
          <w:color w:val="1F3864" w:themeColor="accent1" w:themeShade="80"/>
          <w:u w:val="single"/>
        </w:rPr>
      </w:pPr>
      <w:r w:rsidRPr="003A42F3">
        <w:rPr>
          <w:u w:val="single"/>
        </w:rPr>
        <w:t xml:space="preserve">Tratamiento del trastorno bipolar: </w:t>
      </w:r>
    </w:p>
    <w:p w:rsidR="00A77B9E" w:rsidRPr="003A42F3" w:rsidRDefault="00A77B9E" w:rsidP="00A77B9E">
      <w:pPr>
        <w:pStyle w:val="Prrafodelista"/>
        <w:ind w:left="1815"/>
        <w:jc w:val="both"/>
      </w:pPr>
      <w:r w:rsidRPr="003A42F3">
        <w:t xml:space="preserve">            </w:t>
      </w:r>
      <w:r w:rsidRPr="003A42F3">
        <w:sym w:font="Symbol" w:char="F02D"/>
      </w:r>
      <w:r w:rsidRPr="003A42F3">
        <w:t xml:space="preserve"> Para el tratamiento de los episodios maníacos de moderados a graves en el trastorno bipolar </w:t>
      </w:r>
    </w:p>
    <w:p w:rsidR="00A77B9E" w:rsidRPr="003A42F3" w:rsidRDefault="00A77B9E" w:rsidP="00A77B9E">
      <w:pPr>
        <w:pStyle w:val="Prrafodelista"/>
        <w:ind w:left="1815"/>
        <w:jc w:val="both"/>
      </w:pPr>
      <w:r w:rsidRPr="003A42F3">
        <w:t xml:space="preserve">            </w:t>
      </w:r>
      <w:r w:rsidRPr="003A42F3">
        <w:sym w:font="Symbol" w:char="F02D"/>
      </w:r>
      <w:r w:rsidRPr="003A42F3">
        <w:t xml:space="preserve"> Para el tratamiento de los episodios depresivos mayores en el trastorno bipolar </w:t>
      </w:r>
    </w:p>
    <w:p w:rsidR="00A77B9E" w:rsidRPr="003A42F3" w:rsidRDefault="00A77B9E" w:rsidP="00A77B9E">
      <w:pPr>
        <w:pStyle w:val="Prrafodelista"/>
        <w:ind w:left="1815"/>
        <w:jc w:val="both"/>
      </w:pPr>
      <w:r w:rsidRPr="003A42F3">
        <w:t xml:space="preserve">            </w:t>
      </w:r>
      <w:r w:rsidRPr="003A42F3">
        <w:sym w:font="Symbol" w:char="F02D"/>
      </w:r>
      <w:r w:rsidRPr="003A42F3">
        <w:t xml:space="preserve"> Para la prevención de la recurrencia de episodios maníacos o depresivos en pacientes con trastorno bipolar que previamente han respondido al tratamiento con quetiapina.</w:t>
      </w:r>
    </w:p>
    <w:p w:rsidR="00A77B9E" w:rsidRPr="003A42F3" w:rsidRDefault="00A77B9E" w:rsidP="00A77B9E">
      <w:pPr>
        <w:pStyle w:val="Prrafodelista"/>
        <w:ind w:left="1815"/>
        <w:jc w:val="both"/>
      </w:pPr>
      <w:r w:rsidRPr="003A42F3">
        <w:rPr>
          <w:u w:val="single"/>
        </w:rPr>
        <w:t xml:space="preserve">Dosis:  </w:t>
      </w:r>
      <w:r w:rsidRPr="003A42F3">
        <w:t>300 – 450 mg/día en la mayoría de los casos.</w:t>
      </w:r>
    </w:p>
    <w:p w:rsidR="00A77B9E" w:rsidRPr="003A42F3" w:rsidRDefault="00A77B9E" w:rsidP="00A77B9E">
      <w:pPr>
        <w:pStyle w:val="Prrafodelista"/>
        <w:ind w:left="1815"/>
        <w:jc w:val="both"/>
      </w:pPr>
      <w:r w:rsidRPr="003A42F3">
        <w:rPr>
          <w:u w:val="single"/>
        </w:rPr>
        <w:t>Dosis máxima:</w:t>
      </w:r>
      <w:r w:rsidRPr="003A42F3">
        <w:t xml:space="preserve"> 800mg/día. </w:t>
      </w:r>
    </w:p>
    <w:p w:rsidR="00A77B9E" w:rsidRPr="003A42F3" w:rsidRDefault="00A77B9E" w:rsidP="00002E9D">
      <w:pPr>
        <w:pStyle w:val="Prrafodelista"/>
        <w:ind w:left="1440"/>
        <w:jc w:val="both"/>
      </w:pPr>
    </w:p>
    <w:tbl>
      <w:tblPr>
        <w:tblW w:w="9103" w:type="dxa"/>
        <w:tblCellMar>
          <w:left w:w="70" w:type="dxa"/>
          <w:right w:w="70" w:type="dxa"/>
        </w:tblCellMar>
        <w:tblLook w:val="04A0" w:firstRow="1" w:lastRow="0" w:firstColumn="1" w:lastColumn="0" w:noHBand="0" w:noVBand="1"/>
      </w:tblPr>
      <w:tblGrid>
        <w:gridCol w:w="1177"/>
        <w:gridCol w:w="7926"/>
      </w:tblGrid>
      <w:tr w:rsidR="004930D8" w:rsidRPr="003A42F3" w:rsidTr="0017046F">
        <w:trPr>
          <w:trHeight w:val="300"/>
        </w:trPr>
        <w:tc>
          <w:tcPr>
            <w:tcW w:w="1177" w:type="dxa"/>
            <w:tcBorders>
              <w:top w:val="nil"/>
              <w:left w:val="nil"/>
              <w:bottom w:val="nil"/>
              <w:right w:val="nil"/>
            </w:tcBorders>
            <w:shd w:val="clear" w:color="auto" w:fill="auto"/>
            <w:noWrap/>
            <w:vAlign w:val="bottom"/>
          </w:tcPr>
          <w:p w:rsidR="004930D8" w:rsidRPr="003A42F3" w:rsidRDefault="004930D8" w:rsidP="003D2229">
            <w:pPr>
              <w:spacing w:after="0" w:line="240" w:lineRule="auto"/>
              <w:rPr>
                <w:b/>
                <w:i/>
                <w:color w:val="00B050"/>
              </w:rPr>
            </w:pPr>
          </w:p>
        </w:tc>
        <w:tc>
          <w:tcPr>
            <w:tcW w:w="7926" w:type="dxa"/>
            <w:tcBorders>
              <w:top w:val="nil"/>
              <w:left w:val="nil"/>
              <w:bottom w:val="nil"/>
              <w:right w:val="nil"/>
            </w:tcBorders>
            <w:shd w:val="clear" w:color="auto" w:fill="auto"/>
            <w:noWrap/>
            <w:vAlign w:val="center"/>
          </w:tcPr>
          <w:p w:rsidR="004930D8" w:rsidRPr="003A42F3" w:rsidRDefault="004930D8" w:rsidP="003D2229">
            <w:pPr>
              <w:spacing w:after="0" w:line="240" w:lineRule="auto"/>
              <w:rPr>
                <w:b/>
                <w:i/>
                <w:color w:val="00B050"/>
              </w:rPr>
            </w:pPr>
          </w:p>
        </w:tc>
      </w:tr>
      <w:tr w:rsidR="004930D8" w:rsidRPr="003A42F3" w:rsidTr="0017046F">
        <w:trPr>
          <w:trHeight w:val="300"/>
        </w:trPr>
        <w:tc>
          <w:tcPr>
            <w:tcW w:w="1177" w:type="dxa"/>
            <w:tcBorders>
              <w:top w:val="nil"/>
              <w:left w:val="nil"/>
              <w:bottom w:val="nil"/>
              <w:right w:val="nil"/>
            </w:tcBorders>
            <w:shd w:val="clear" w:color="auto" w:fill="auto"/>
            <w:noWrap/>
            <w:vAlign w:val="bottom"/>
            <w:hideMark/>
          </w:tcPr>
          <w:p w:rsidR="004930D8" w:rsidRPr="003A42F3" w:rsidRDefault="004930D8" w:rsidP="003D2229">
            <w:pPr>
              <w:spacing w:after="0" w:line="240" w:lineRule="auto"/>
              <w:rPr>
                <w:b/>
                <w:i/>
                <w:color w:val="00B050"/>
              </w:rPr>
            </w:pPr>
            <w:r w:rsidRPr="003A42F3">
              <w:rPr>
                <w:b/>
                <w:i/>
                <w:color w:val="00B050"/>
              </w:rPr>
              <w:t>N05AX08</w:t>
            </w:r>
            <w:r w:rsidR="00A31C53" w:rsidRPr="003A42F3">
              <w:rPr>
                <w:b/>
                <w:i/>
                <w:color w:val="00B050"/>
              </w:rPr>
              <w:t>.A</w:t>
            </w:r>
          </w:p>
        </w:tc>
        <w:tc>
          <w:tcPr>
            <w:tcW w:w="7926" w:type="dxa"/>
            <w:tcBorders>
              <w:top w:val="nil"/>
              <w:left w:val="nil"/>
              <w:bottom w:val="nil"/>
              <w:right w:val="nil"/>
            </w:tcBorders>
            <w:shd w:val="clear" w:color="auto" w:fill="auto"/>
            <w:noWrap/>
            <w:vAlign w:val="center"/>
            <w:hideMark/>
          </w:tcPr>
          <w:p w:rsidR="004930D8" w:rsidRPr="003A42F3" w:rsidRDefault="004930D8" w:rsidP="003D2229">
            <w:pPr>
              <w:spacing w:after="0" w:line="240" w:lineRule="auto"/>
              <w:rPr>
                <w:b/>
                <w:i/>
                <w:color w:val="00B050"/>
              </w:rPr>
            </w:pPr>
            <w:r w:rsidRPr="003A42F3">
              <w:rPr>
                <w:b/>
                <w:i/>
                <w:color w:val="00B050"/>
              </w:rPr>
              <w:t>RISPERIDONA inyectable</w:t>
            </w:r>
          </w:p>
        </w:tc>
      </w:tr>
    </w:tbl>
    <w:p w:rsidR="004930D8" w:rsidRPr="003A42F3" w:rsidRDefault="004930D8" w:rsidP="00F9050B">
      <w:pPr>
        <w:jc w:val="both"/>
      </w:pPr>
    </w:p>
    <w:p w:rsidR="003055E9" w:rsidRPr="003A42F3" w:rsidRDefault="003D1140" w:rsidP="005A466E">
      <w:pPr>
        <w:pStyle w:val="Prrafodelista"/>
        <w:numPr>
          <w:ilvl w:val="0"/>
          <w:numId w:val="9"/>
        </w:numPr>
        <w:jc w:val="both"/>
      </w:pPr>
      <w:r w:rsidRPr="003A42F3">
        <w:t xml:space="preserve">Tratamiento </w:t>
      </w:r>
      <w:r w:rsidR="003055E9" w:rsidRPr="003A42F3">
        <w:t>Ia psicosis es esquizofrénica crónica y aguda y de otros trastornos psicóticos, en los que predominen s síntomas positivos o negativos.</w:t>
      </w:r>
      <w:r w:rsidR="000E642D" w:rsidRPr="003A42F3">
        <w:t xml:space="preserve"> </w:t>
      </w:r>
    </w:p>
    <w:p w:rsidR="000E642D" w:rsidRPr="003A42F3" w:rsidRDefault="000E642D" w:rsidP="005A466E">
      <w:pPr>
        <w:pStyle w:val="Prrafodelista"/>
        <w:numPr>
          <w:ilvl w:val="0"/>
          <w:numId w:val="9"/>
        </w:numPr>
        <w:jc w:val="both"/>
      </w:pPr>
      <w:r w:rsidRPr="003A42F3">
        <w:t>Tratamiento</w:t>
      </w:r>
      <w:r w:rsidR="00AE2856" w:rsidRPr="003A42F3">
        <w:t xml:space="preserve"> único</w:t>
      </w:r>
      <w:r w:rsidRPr="003A42F3">
        <w:t xml:space="preserve"> o combinado con litio y valproato en el trastorno bipolar. </w:t>
      </w:r>
    </w:p>
    <w:p w:rsidR="000E642D" w:rsidRPr="003A42F3" w:rsidRDefault="000E642D" w:rsidP="000E642D">
      <w:pPr>
        <w:pStyle w:val="Prrafodelista"/>
        <w:ind w:left="1440"/>
        <w:jc w:val="both"/>
        <w:rPr>
          <w:u w:val="single"/>
        </w:rPr>
      </w:pPr>
      <w:r w:rsidRPr="003A42F3">
        <w:rPr>
          <w:u w:val="single"/>
        </w:rPr>
        <w:t xml:space="preserve">Dosis: </w:t>
      </w:r>
      <w:r w:rsidR="00AE2856" w:rsidRPr="003A42F3">
        <w:t>25 mg por vía IM cada 2 semanas.</w:t>
      </w:r>
      <w:r w:rsidR="00AE2856" w:rsidRPr="003A42F3">
        <w:rPr>
          <w:u w:val="single"/>
        </w:rPr>
        <w:t xml:space="preserve"> </w:t>
      </w:r>
    </w:p>
    <w:p w:rsidR="00AE2856" w:rsidRPr="003A42F3" w:rsidRDefault="00AE2856" w:rsidP="000E642D">
      <w:pPr>
        <w:pStyle w:val="Prrafodelista"/>
        <w:ind w:left="1440"/>
        <w:jc w:val="both"/>
        <w:rPr>
          <w:u w:val="single"/>
        </w:rPr>
      </w:pPr>
      <w:r w:rsidRPr="003A42F3">
        <w:rPr>
          <w:u w:val="single"/>
        </w:rPr>
        <w:t xml:space="preserve">Dosis máxima: </w:t>
      </w:r>
      <w:r w:rsidRPr="003A42F3">
        <w:t>50 mg cada 2 semanas.</w:t>
      </w:r>
      <w:r w:rsidRPr="003A42F3">
        <w:rPr>
          <w:u w:val="single"/>
        </w:rPr>
        <w:t xml:space="preserve"> </w:t>
      </w:r>
    </w:p>
    <w:p w:rsidR="00AE2856" w:rsidRPr="003A42F3" w:rsidRDefault="00AE2856" w:rsidP="000E642D">
      <w:pPr>
        <w:pStyle w:val="Prrafodelista"/>
        <w:ind w:left="1440"/>
        <w:jc w:val="both"/>
        <w:rPr>
          <w:u w:val="single"/>
        </w:rPr>
      </w:pPr>
    </w:p>
    <w:p w:rsidR="00B90C9A" w:rsidRPr="003A42F3" w:rsidRDefault="00C17F97" w:rsidP="00C17F97">
      <w:pPr>
        <w:jc w:val="both"/>
        <w:rPr>
          <w:b/>
          <w:i/>
          <w:color w:val="00B050"/>
        </w:rPr>
      </w:pPr>
      <w:r w:rsidRPr="003A42F3">
        <w:rPr>
          <w:b/>
          <w:i/>
          <w:color w:val="00B050"/>
        </w:rPr>
        <w:t xml:space="preserve"> N05AX12    ARIPIPRAZOL </w:t>
      </w:r>
    </w:p>
    <w:p w:rsidR="002E4448" w:rsidRPr="003A42F3" w:rsidRDefault="002E4448" w:rsidP="005A466E">
      <w:pPr>
        <w:pStyle w:val="Prrafodelista"/>
        <w:numPr>
          <w:ilvl w:val="0"/>
          <w:numId w:val="9"/>
        </w:numPr>
        <w:jc w:val="both"/>
      </w:pPr>
      <w:r w:rsidRPr="003A42F3">
        <w:t>Tratamiento de la esquizofrenia en adultos y adolescentes de 15 años o más.</w:t>
      </w:r>
    </w:p>
    <w:p w:rsidR="002E4448" w:rsidRPr="003A42F3" w:rsidRDefault="002E4448" w:rsidP="005A466E">
      <w:pPr>
        <w:pStyle w:val="Prrafodelista"/>
        <w:numPr>
          <w:ilvl w:val="0"/>
          <w:numId w:val="9"/>
        </w:numPr>
        <w:jc w:val="both"/>
      </w:pPr>
      <w:r w:rsidRPr="003A42F3">
        <w:t xml:space="preserve">Tratamiento de los episodios maníacos moderados o severos en pacientes con trastorno bipolar I y en la prevención de nuevos episodios maníacos en </w:t>
      </w:r>
      <w:r w:rsidRPr="003A42F3">
        <w:lastRenderedPageBreak/>
        <w:t>pacientes que presentaron episodios predominantemente maníacos y que respondieron al tratamiento con Aripiprazol.</w:t>
      </w:r>
    </w:p>
    <w:p w:rsidR="00D4368A" w:rsidRPr="003A42F3" w:rsidRDefault="002E4448" w:rsidP="005A466E">
      <w:pPr>
        <w:pStyle w:val="Prrafodelista"/>
        <w:numPr>
          <w:ilvl w:val="0"/>
          <w:numId w:val="9"/>
        </w:numPr>
        <w:jc w:val="both"/>
        <w:rPr>
          <w:u w:val="single"/>
        </w:rPr>
      </w:pPr>
      <w:r w:rsidRPr="003A42F3">
        <w:t>Tratamiento de mantenimiento de la esquizofrenia en pacientes adultos estabilizados con aripiprazol oral.</w:t>
      </w:r>
    </w:p>
    <w:p w:rsidR="00D4368A" w:rsidRPr="003A42F3" w:rsidRDefault="00D4368A" w:rsidP="005A466E">
      <w:pPr>
        <w:pStyle w:val="Prrafodelista"/>
        <w:numPr>
          <w:ilvl w:val="0"/>
          <w:numId w:val="9"/>
        </w:numPr>
        <w:jc w:val="both"/>
        <w:rPr>
          <w:u w:val="single"/>
        </w:rPr>
      </w:pPr>
      <w:r w:rsidRPr="003A42F3">
        <w:t xml:space="preserve">En cuanto a seguridad, aripiprazol es un antipsicótico que parece producir menos obesidad, diabetes, sin tener efectos relevantes sobre la secreción de prolactina, el intervalo QT ni en el metabolismo lipídico. </w:t>
      </w:r>
    </w:p>
    <w:p w:rsidR="00D4368A" w:rsidRPr="003A42F3" w:rsidRDefault="00D4368A" w:rsidP="005A466E">
      <w:pPr>
        <w:pStyle w:val="Prrafodelista"/>
        <w:numPr>
          <w:ilvl w:val="0"/>
          <w:numId w:val="9"/>
        </w:numPr>
        <w:jc w:val="both"/>
        <w:rPr>
          <w:u w:val="single"/>
        </w:rPr>
      </w:pPr>
      <w:r w:rsidRPr="003A42F3">
        <w:t xml:space="preserve">Similar a típicos y atípicos en cuanto a síntomas extrapiramidales y ansiedad. </w:t>
      </w:r>
      <w:r w:rsidRPr="003A42F3">
        <w:rPr>
          <w:u w:val="single"/>
        </w:rPr>
        <w:t>Dosis en adultos:</w:t>
      </w:r>
      <w:r w:rsidRPr="003A42F3">
        <w:t xml:space="preserve"> </w:t>
      </w:r>
    </w:p>
    <w:p w:rsidR="002E4448" w:rsidRPr="003A42F3" w:rsidRDefault="00D4368A" w:rsidP="00D4368A">
      <w:pPr>
        <w:pStyle w:val="Prrafodelista"/>
        <w:ind w:left="1440"/>
        <w:jc w:val="both"/>
        <w:rPr>
          <w:u w:val="single"/>
        </w:rPr>
      </w:pPr>
      <w:r w:rsidRPr="003A42F3">
        <w:t xml:space="preserve">a) </w:t>
      </w:r>
      <w:r w:rsidRPr="003A42F3">
        <w:rPr>
          <w:u w:val="single"/>
        </w:rPr>
        <w:t>Esquizofrenia:</w:t>
      </w:r>
      <w:r w:rsidRPr="003A42F3">
        <w:t xml:space="preserve"> 10 - 15 mg/día con una dosis de mantenimiento de 15 mg/día administrada como una única dosis diaria independientemente de las comidas. Eficaz en un rango de 10 a 30 mg/día. No se ha demostrado un aumento de la eficacia con dosis mayores a la dosis diaria de 15 mg, aunque algunos pacientes pueden beneficiarse de dosis mayores</w:t>
      </w:r>
      <w:r w:rsidRPr="003A42F3">
        <w:rPr>
          <w:u w:val="single"/>
        </w:rPr>
        <w:t>. Dosis máxima diaria:</w:t>
      </w:r>
      <w:r w:rsidRPr="003A42F3">
        <w:t xml:space="preserve"> 30 mg/día.                            </w:t>
      </w:r>
      <w:r w:rsidR="00453F85" w:rsidRPr="003A42F3">
        <w:t xml:space="preserve">b) </w:t>
      </w:r>
      <w:r w:rsidR="00453F85" w:rsidRPr="003A42F3">
        <w:rPr>
          <w:u w:val="single"/>
        </w:rPr>
        <w:t>Episodios</w:t>
      </w:r>
      <w:r w:rsidRPr="003A42F3">
        <w:rPr>
          <w:u w:val="single"/>
        </w:rPr>
        <w:t xml:space="preserve"> maníacos</w:t>
      </w:r>
      <w:r w:rsidRPr="003A42F3">
        <w:t xml:space="preserve">: 15 mg administrada como una única dosis diaria independientemente de las comidas en monoterapia o terapia combinada. Algunos pacientes podrían beneficiarse de dosis mayores. </w:t>
      </w:r>
      <w:r w:rsidRPr="003A42F3">
        <w:rPr>
          <w:u w:val="single"/>
        </w:rPr>
        <w:t>Dosis máxima diaria</w:t>
      </w:r>
      <w:r w:rsidRPr="003A42F3">
        <w:t>: 30 mg</w:t>
      </w:r>
    </w:p>
    <w:p w:rsidR="00812D4E" w:rsidRPr="000D1016" w:rsidRDefault="00812D4E" w:rsidP="00812D4E">
      <w:pPr>
        <w:tabs>
          <w:tab w:val="left" w:pos="1320"/>
        </w:tabs>
        <w:ind w:left="113"/>
        <w:rPr>
          <w:rFonts w:cs="Arial"/>
          <w:b/>
          <w:i/>
          <w:color w:val="00B050"/>
        </w:rPr>
      </w:pPr>
      <w:r w:rsidRPr="000D1016">
        <w:rPr>
          <w:rFonts w:cs="Arial"/>
          <w:b/>
          <w:i/>
          <w:color w:val="00B050"/>
        </w:rPr>
        <w:t>N05B</w:t>
      </w:r>
      <w:r w:rsidRPr="000D1016">
        <w:rPr>
          <w:rFonts w:cs="Arial"/>
          <w:b/>
          <w:i/>
          <w:color w:val="00B050"/>
        </w:rPr>
        <w:tab/>
        <w:t>ANSIOLITICOS</w:t>
      </w:r>
    </w:p>
    <w:p w:rsidR="00812D4E" w:rsidRPr="000D1016" w:rsidRDefault="00812D4E" w:rsidP="00812D4E">
      <w:pPr>
        <w:tabs>
          <w:tab w:val="left" w:pos="1320"/>
        </w:tabs>
        <w:ind w:left="113"/>
        <w:rPr>
          <w:rFonts w:cs="Arial"/>
          <w:b/>
          <w:i/>
          <w:color w:val="00B050"/>
        </w:rPr>
      </w:pPr>
      <w:r w:rsidRPr="000D1016">
        <w:rPr>
          <w:rFonts w:cs="Arial"/>
          <w:b/>
          <w:i/>
          <w:color w:val="00B050"/>
        </w:rPr>
        <w:t>N05BA06</w:t>
      </w:r>
      <w:r w:rsidRPr="000D1016">
        <w:rPr>
          <w:rFonts w:cs="Arial"/>
          <w:b/>
          <w:i/>
          <w:color w:val="00B050"/>
        </w:rPr>
        <w:tab/>
        <w:t xml:space="preserve">LORAZEPAM </w:t>
      </w:r>
    </w:p>
    <w:p w:rsidR="00812D4E" w:rsidRPr="000D1016" w:rsidRDefault="00812D4E" w:rsidP="00396EBC">
      <w:pPr>
        <w:numPr>
          <w:ilvl w:val="0"/>
          <w:numId w:val="65"/>
        </w:numPr>
        <w:spacing w:after="0" w:line="240" w:lineRule="auto"/>
        <w:jc w:val="both"/>
        <w:rPr>
          <w:snapToGrid w:val="0"/>
        </w:rPr>
      </w:pPr>
      <w:r w:rsidRPr="000D1016">
        <w:rPr>
          <w:snapToGrid w:val="0"/>
        </w:rPr>
        <w:t>Tratamiento sintomático a corto plazo (</w:t>
      </w:r>
      <w:smartTag w:uri="urn:schemas-microsoft-com:office:smarttags" w:element="metricconverter">
        <w:smartTagPr>
          <w:attr w:name="ProductID" w:val="2 a"/>
        </w:smartTagPr>
        <w:r w:rsidRPr="000D1016">
          <w:rPr>
            <w:snapToGrid w:val="0"/>
          </w:rPr>
          <w:t>2 a</w:t>
        </w:r>
      </w:smartTag>
      <w:r w:rsidRPr="000D1016">
        <w:rPr>
          <w:snapToGrid w:val="0"/>
        </w:rPr>
        <w:t xml:space="preserve"> 4 semanas) de la ansiedad severa, tanto cuando ésta ocurre como un síntoma aislado, cuando se presenta acompañada de insomnio o en el contexto de cuadros transitorios complejos (enfermedad psicosomática, orgánica o psicosis). Dosis: 2-4 mg/día en 2 tomas.</w:t>
      </w:r>
    </w:p>
    <w:p w:rsidR="00812D4E" w:rsidRPr="000D1016" w:rsidRDefault="00812D4E" w:rsidP="00396EBC">
      <w:pPr>
        <w:numPr>
          <w:ilvl w:val="0"/>
          <w:numId w:val="65"/>
        </w:numPr>
        <w:spacing w:after="0" w:line="240" w:lineRule="auto"/>
        <w:jc w:val="both"/>
        <w:rPr>
          <w:snapToGrid w:val="0"/>
        </w:rPr>
      </w:pPr>
      <w:r w:rsidRPr="000D1016">
        <w:rPr>
          <w:snapToGrid w:val="0"/>
        </w:rPr>
        <w:t xml:space="preserve">Tratamiento agudo de cuadros convulsivos de origen diverso por vía IV. Dosis: 4 mg EV administrado muy lentamente seguidos de 2 mg/minuto en infusión </w:t>
      </w:r>
      <w:proofErr w:type="gramStart"/>
      <w:r w:rsidRPr="000D1016">
        <w:rPr>
          <w:snapToGrid w:val="0"/>
        </w:rPr>
        <w:t>continua</w:t>
      </w:r>
      <w:proofErr w:type="gramEnd"/>
      <w:r w:rsidRPr="000D1016">
        <w:rPr>
          <w:snapToGrid w:val="0"/>
        </w:rPr>
        <w:t>.</w:t>
      </w:r>
    </w:p>
    <w:p w:rsidR="00812D4E" w:rsidRPr="00812D4E" w:rsidRDefault="00812D4E" w:rsidP="00812D4E">
      <w:pPr>
        <w:tabs>
          <w:tab w:val="left" w:pos="1161"/>
        </w:tabs>
        <w:ind w:left="50"/>
        <w:rPr>
          <w:rFonts w:ascii="Verdana" w:hAnsi="Verdana" w:cs="Arial"/>
          <w:b/>
          <w:i/>
          <w:color w:val="00B050"/>
        </w:rPr>
      </w:pPr>
    </w:p>
    <w:p w:rsidR="00812D4E" w:rsidRPr="00812D4E" w:rsidRDefault="00812D4E" w:rsidP="00812D4E">
      <w:pPr>
        <w:tabs>
          <w:tab w:val="left" w:pos="1161"/>
        </w:tabs>
        <w:ind w:left="50"/>
        <w:rPr>
          <w:rFonts w:cs="Arial"/>
          <w:b/>
          <w:i/>
          <w:color w:val="00B050"/>
        </w:rPr>
      </w:pPr>
      <w:r w:rsidRPr="00812D4E">
        <w:rPr>
          <w:rFonts w:cs="Arial"/>
          <w:b/>
          <w:i/>
          <w:color w:val="00B050"/>
        </w:rPr>
        <w:t>N05BA12</w:t>
      </w:r>
      <w:r w:rsidRPr="00812D4E">
        <w:rPr>
          <w:rFonts w:cs="Arial"/>
          <w:b/>
          <w:i/>
          <w:color w:val="00B050"/>
        </w:rPr>
        <w:tab/>
        <w:t xml:space="preserve">ALPRAZOLAM </w:t>
      </w:r>
    </w:p>
    <w:p w:rsidR="00812D4E" w:rsidRPr="00812D4E" w:rsidRDefault="00812D4E" w:rsidP="00396EBC">
      <w:pPr>
        <w:numPr>
          <w:ilvl w:val="0"/>
          <w:numId w:val="80"/>
        </w:numPr>
        <w:spacing w:after="0" w:line="240" w:lineRule="auto"/>
        <w:jc w:val="both"/>
        <w:rPr>
          <w:rFonts w:cs="Arial"/>
        </w:rPr>
      </w:pPr>
      <w:r w:rsidRPr="00812D4E">
        <w:rPr>
          <w:rFonts w:cs="Arial"/>
        </w:rPr>
        <w:t xml:space="preserve">Tratamiento farmacológico de las manifestaciones del trastorno obsesivo compulsivo (T.O.C) asistido por especialista como alternativa al </w:t>
      </w:r>
      <w:proofErr w:type="spellStart"/>
      <w:r w:rsidRPr="00812D4E">
        <w:rPr>
          <w:rFonts w:cs="Arial"/>
        </w:rPr>
        <w:t>clonazepan</w:t>
      </w:r>
      <w:proofErr w:type="spellEnd"/>
      <w:r w:rsidRPr="00812D4E">
        <w:rPr>
          <w:rFonts w:cs="Arial"/>
        </w:rPr>
        <w:t xml:space="preserve"> </w:t>
      </w:r>
    </w:p>
    <w:p w:rsidR="00812D4E" w:rsidRPr="00812D4E" w:rsidRDefault="00812D4E" w:rsidP="00812D4E">
      <w:pPr>
        <w:ind w:left="360"/>
        <w:rPr>
          <w:rFonts w:cs="Arial"/>
        </w:rPr>
      </w:pPr>
      <w:r w:rsidRPr="00812D4E">
        <w:rPr>
          <w:rFonts w:cs="Arial"/>
          <w:u w:val="single"/>
        </w:rPr>
        <w:t>Dosis:</w:t>
      </w:r>
      <w:r w:rsidRPr="00812D4E">
        <w:rPr>
          <w:rFonts w:cs="Arial"/>
        </w:rPr>
        <w:t xml:space="preserve"> 0,25-0,50 mg 2-3 veces al día.</w:t>
      </w:r>
    </w:p>
    <w:p w:rsidR="00812D4E" w:rsidRPr="00812D4E" w:rsidRDefault="00812D4E" w:rsidP="00812D4E">
      <w:pPr>
        <w:tabs>
          <w:tab w:val="left" w:pos="1161"/>
        </w:tabs>
        <w:ind w:left="50"/>
        <w:rPr>
          <w:rFonts w:cs="Arial"/>
        </w:rPr>
      </w:pPr>
    </w:p>
    <w:p w:rsidR="00812D4E" w:rsidRPr="00812D4E" w:rsidRDefault="00812D4E" w:rsidP="00812D4E">
      <w:pPr>
        <w:tabs>
          <w:tab w:val="left" w:pos="1161"/>
        </w:tabs>
        <w:ind w:left="50"/>
        <w:rPr>
          <w:rFonts w:cs="Arial"/>
          <w:b/>
          <w:i/>
          <w:color w:val="00B050"/>
        </w:rPr>
      </w:pPr>
      <w:r w:rsidRPr="00812D4E">
        <w:rPr>
          <w:rFonts w:cs="Arial"/>
          <w:b/>
          <w:i/>
          <w:color w:val="00B050"/>
        </w:rPr>
        <w:t>N05C</w:t>
      </w:r>
      <w:r w:rsidRPr="00812D4E">
        <w:rPr>
          <w:rFonts w:cs="Arial"/>
          <w:b/>
          <w:i/>
          <w:color w:val="00B050"/>
        </w:rPr>
        <w:tab/>
        <w:t>HIPNOTICOS Y SEDANTES</w:t>
      </w:r>
    </w:p>
    <w:p w:rsidR="00812D4E" w:rsidRPr="00812D4E" w:rsidRDefault="00812D4E" w:rsidP="00812D4E">
      <w:pPr>
        <w:tabs>
          <w:tab w:val="left" w:pos="1161"/>
        </w:tabs>
        <w:ind w:left="50"/>
        <w:rPr>
          <w:rFonts w:cs="Arial"/>
          <w:b/>
          <w:i/>
          <w:color w:val="00B050"/>
        </w:rPr>
      </w:pPr>
      <w:r w:rsidRPr="00812D4E">
        <w:rPr>
          <w:rFonts w:cs="Arial"/>
          <w:b/>
          <w:i/>
          <w:color w:val="00B050"/>
        </w:rPr>
        <w:t>N05CF</w:t>
      </w:r>
      <w:r w:rsidRPr="00812D4E">
        <w:rPr>
          <w:rFonts w:cs="Arial"/>
          <w:b/>
          <w:i/>
          <w:color w:val="00B050"/>
        </w:rPr>
        <w:tab/>
        <w:t>FARMACOS RELACIONADOS CON LAS BENZODIAZEPINAS</w:t>
      </w:r>
    </w:p>
    <w:p w:rsidR="00812D4E" w:rsidRPr="00812D4E" w:rsidRDefault="00812D4E" w:rsidP="00812D4E">
      <w:pPr>
        <w:tabs>
          <w:tab w:val="left" w:pos="1161"/>
        </w:tabs>
        <w:ind w:left="50"/>
        <w:rPr>
          <w:rFonts w:cs="Arial"/>
          <w:b/>
          <w:i/>
          <w:color w:val="00B050"/>
        </w:rPr>
      </w:pPr>
      <w:r w:rsidRPr="00812D4E">
        <w:rPr>
          <w:rFonts w:cs="Arial"/>
          <w:b/>
          <w:i/>
          <w:color w:val="00B050"/>
        </w:rPr>
        <w:t>N05CF01</w:t>
      </w:r>
      <w:r w:rsidRPr="00812D4E">
        <w:rPr>
          <w:rFonts w:cs="Arial"/>
          <w:b/>
          <w:i/>
          <w:color w:val="00B050"/>
        </w:rPr>
        <w:tab/>
        <w:t xml:space="preserve">ZOPICLONA </w:t>
      </w:r>
    </w:p>
    <w:p w:rsidR="00812D4E" w:rsidRPr="00812D4E" w:rsidRDefault="00812D4E" w:rsidP="00396EBC">
      <w:pPr>
        <w:numPr>
          <w:ilvl w:val="0"/>
          <w:numId w:val="80"/>
        </w:numPr>
        <w:spacing w:after="0" w:line="240" w:lineRule="auto"/>
        <w:jc w:val="both"/>
        <w:rPr>
          <w:rFonts w:cs="Arial"/>
          <w:bCs/>
        </w:rPr>
      </w:pPr>
      <w:r w:rsidRPr="00812D4E">
        <w:rPr>
          <w:rFonts w:cs="Arial"/>
        </w:rPr>
        <w:t>Tratamiento de alternativa para insomnio inicial refractario a las benzodiacepinas, cuando resulta imperios continuar el tratamiento farmacológico</w:t>
      </w:r>
    </w:p>
    <w:p w:rsidR="00812D4E" w:rsidRPr="00812D4E" w:rsidRDefault="00812D4E" w:rsidP="00812D4E">
      <w:pPr>
        <w:tabs>
          <w:tab w:val="num" w:pos="720"/>
        </w:tabs>
        <w:ind w:left="720" w:hanging="360"/>
        <w:jc w:val="both"/>
        <w:rPr>
          <w:rFonts w:cs="Arial"/>
          <w:bCs/>
        </w:rPr>
      </w:pPr>
      <w:r w:rsidRPr="00812D4E">
        <w:rPr>
          <w:rFonts w:cs="Arial"/>
          <w:bCs/>
          <w:u w:val="single"/>
        </w:rPr>
        <w:t>Dosis</w:t>
      </w:r>
      <w:r w:rsidRPr="00812D4E">
        <w:rPr>
          <w:rFonts w:cs="Arial"/>
          <w:bCs/>
        </w:rPr>
        <w:t>: 7,5 mg en una sola toma 30-60 minutos antes de acostarse.</w:t>
      </w:r>
    </w:p>
    <w:p w:rsidR="00FA0F7F" w:rsidRPr="000D1016" w:rsidRDefault="00FA0F7F" w:rsidP="00FA0F7F">
      <w:pPr>
        <w:tabs>
          <w:tab w:val="left" w:pos="1320"/>
        </w:tabs>
        <w:ind w:left="113"/>
        <w:rPr>
          <w:rFonts w:cs="Arial"/>
          <w:b/>
          <w:i/>
          <w:color w:val="00B050"/>
        </w:rPr>
      </w:pPr>
      <w:r w:rsidRPr="000D1016">
        <w:rPr>
          <w:rFonts w:cs="Arial"/>
          <w:b/>
          <w:i/>
          <w:color w:val="00B050"/>
        </w:rPr>
        <w:t xml:space="preserve">N05BA99  CLONAZEPAM </w:t>
      </w:r>
    </w:p>
    <w:p w:rsidR="00FA0F7F" w:rsidRPr="000D1016" w:rsidRDefault="00FA0F7F" w:rsidP="00396EBC">
      <w:pPr>
        <w:numPr>
          <w:ilvl w:val="0"/>
          <w:numId w:val="66"/>
        </w:numPr>
        <w:spacing w:after="0" w:line="240" w:lineRule="auto"/>
        <w:jc w:val="both"/>
        <w:rPr>
          <w:snapToGrid w:val="0"/>
        </w:rPr>
      </w:pPr>
      <w:r w:rsidRPr="000D1016">
        <w:rPr>
          <w:snapToGrid w:val="0"/>
        </w:rPr>
        <w:t xml:space="preserve">Trastorno de pánico. </w:t>
      </w:r>
    </w:p>
    <w:p w:rsidR="00FA0F7F" w:rsidRPr="000D1016" w:rsidRDefault="00FA0F7F" w:rsidP="00396EBC">
      <w:pPr>
        <w:numPr>
          <w:ilvl w:val="0"/>
          <w:numId w:val="66"/>
        </w:numPr>
        <w:spacing w:after="0" w:line="240" w:lineRule="auto"/>
        <w:jc w:val="both"/>
        <w:rPr>
          <w:snapToGrid w:val="0"/>
        </w:rPr>
      </w:pPr>
      <w:r w:rsidRPr="000D1016">
        <w:rPr>
          <w:snapToGrid w:val="0"/>
        </w:rPr>
        <w:lastRenderedPageBreak/>
        <w:t>Tratamiento sintomático a corto plazo (</w:t>
      </w:r>
      <w:smartTag w:uri="urn:schemas-microsoft-com:office:smarttags" w:element="metricconverter">
        <w:smartTagPr>
          <w:attr w:name="ProductID" w:val="2 a"/>
        </w:smartTagPr>
        <w:r w:rsidRPr="000D1016">
          <w:rPr>
            <w:snapToGrid w:val="0"/>
          </w:rPr>
          <w:t>2 a</w:t>
        </w:r>
      </w:smartTag>
      <w:r w:rsidRPr="000D1016">
        <w:rPr>
          <w:snapToGrid w:val="0"/>
        </w:rPr>
        <w:t xml:space="preserve"> 4 semanas) de la ansiedad severa, tanto cuando ésta ocurre como un síntoma aislado, cuando se presenta acompañada de insomnio o en el contexto de cuadros transitorios complejos (enfermedad psicosomática, orgánica o psicosis). </w:t>
      </w:r>
    </w:p>
    <w:p w:rsidR="00FA0F7F" w:rsidRPr="000D1016" w:rsidRDefault="00FA0F7F" w:rsidP="00FA0F7F">
      <w:pPr>
        <w:ind w:left="360"/>
        <w:jc w:val="both"/>
        <w:rPr>
          <w:snapToGrid w:val="0"/>
        </w:rPr>
      </w:pPr>
      <w:r w:rsidRPr="000D1016">
        <w:rPr>
          <w:snapToGrid w:val="0"/>
          <w:u w:val="single"/>
        </w:rPr>
        <w:t>Dosis</w:t>
      </w:r>
      <w:r w:rsidRPr="000D1016">
        <w:rPr>
          <w:snapToGrid w:val="0"/>
        </w:rPr>
        <w:t>: 0,125-0,250 mg cada 12 horas; máximo 4 mg/día.</w:t>
      </w:r>
    </w:p>
    <w:p w:rsidR="00FA0F7F" w:rsidRPr="000D1016" w:rsidRDefault="00FA0F7F" w:rsidP="00FA0F7F">
      <w:pPr>
        <w:tabs>
          <w:tab w:val="left" w:pos="1320"/>
        </w:tabs>
        <w:ind w:left="113"/>
        <w:rPr>
          <w:rFonts w:cs="Arial"/>
          <w:b/>
          <w:i/>
          <w:color w:val="00B050"/>
        </w:rPr>
      </w:pPr>
      <w:r w:rsidRPr="000D1016">
        <w:rPr>
          <w:rFonts w:cs="Arial"/>
          <w:b/>
          <w:i/>
          <w:color w:val="00B050"/>
        </w:rPr>
        <w:t xml:space="preserve">N05BA99  CLONAZEPAM </w:t>
      </w:r>
    </w:p>
    <w:p w:rsidR="00FA0F7F" w:rsidRPr="000D1016" w:rsidRDefault="00FA0F7F" w:rsidP="00396EBC">
      <w:pPr>
        <w:numPr>
          <w:ilvl w:val="0"/>
          <w:numId w:val="66"/>
        </w:numPr>
        <w:spacing w:after="0" w:line="240" w:lineRule="auto"/>
        <w:jc w:val="both"/>
        <w:rPr>
          <w:snapToGrid w:val="0"/>
        </w:rPr>
      </w:pPr>
      <w:r w:rsidRPr="000D1016">
        <w:rPr>
          <w:snapToGrid w:val="0"/>
        </w:rPr>
        <w:t xml:space="preserve">Trastorno de pánico. </w:t>
      </w:r>
    </w:p>
    <w:p w:rsidR="00FA0F7F" w:rsidRPr="000D1016" w:rsidRDefault="00FA0F7F" w:rsidP="00396EBC">
      <w:pPr>
        <w:numPr>
          <w:ilvl w:val="0"/>
          <w:numId w:val="66"/>
        </w:numPr>
        <w:spacing w:after="0" w:line="240" w:lineRule="auto"/>
        <w:jc w:val="both"/>
        <w:rPr>
          <w:snapToGrid w:val="0"/>
        </w:rPr>
      </w:pPr>
      <w:r w:rsidRPr="000D1016">
        <w:rPr>
          <w:snapToGrid w:val="0"/>
        </w:rPr>
        <w:t>Tratamiento sintomático a corto plazo (</w:t>
      </w:r>
      <w:smartTag w:uri="urn:schemas-microsoft-com:office:smarttags" w:element="metricconverter">
        <w:smartTagPr>
          <w:attr w:name="ProductID" w:val="2 a"/>
        </w:smartTagPr>
        <w:r w:rsidRPr="000D1016">
          <w:rPr>
            <w:snapToGrid w:val="0"/>
          </w:rPr>
          <w:t>2 a</w:t>
        </w:r>
      </w:smartTag>
      <w:r w:rsidRPr="000D1016">
        <w:rPr>
          <w:snapToGrid w:val="0"/>
        </w:rPr>
        <w:t xml:space="preserve"> 4 semanas) de la ansiedad severa, tanto cuando ésta ocurre como un síntoma aislado, cuando se presenta acompañada de insomnio o en el contexto de cuadros transitorios complejos (enfermedad psicosomática, orgánica o psicosis). </w:t>
      </w:r>
    </w:p>
    <w:p w:rsidR="00FA0F7F" w:rsidRPr="000D1016" w:rsidRDefault="00FA0F7F" w:rsidP="00FA0F7F">
      <w:pPr>
        <w:ind w:left="360"/>
        <w:jc w:val="both"/>
        <w:rPr>
          <w:snapToGrid w:val="0"/>
        </w:rPr>
      </w:pPr>
      <w:r w:rsidRPr="000D1016">
        <w:rPr>
          <w:snapToGrid w:val="0"/>
          <w:u w:val="single"/>
        </w:rPr>
        <w:t>Dosis</w:t>
      </w:r>
      <w:r w:rsidRPr="000D1016">
        <w:rPr>
          <w:snapToGrid w:val="0"/>
        </w:rPr>
        <w:t>: 0,125-0,250 mg cada 12 horas; máximo 4 mg/día.</w:t>
      </w:r>
    </w:p>
    <w:p w:rsidR="00812D4E" w:rsidRPr="00812D4E" w:rsidRDefault="00812D4E" w:rsidP="00812D4E">
      <w:pPr>
        <w:tabs>
          <w:tab w:val="left" w:pos="1161"/>
        </w:tabs>
        <w:ind w:left="50"/>
        <w:rPr>
          <w:rFonts w:cs="Arial"/>
        </w:rPr>
      </w:pPr>
    </w:p>
    <w:p w:rsidR="00812D4E" w:rsidRPr="00812D4E" w:rsidRDefault="00812D4E" w:rsidP="00812D4E">
      <w:pPr>
        <w:tabs>
          <w:tab w:val="left" w:pos="1161"/>
        </w:tabs>
        <w:ind w:left="50"/>
        <w:rPr>
          <w:rFonts w:cs="Arial"/>
          <w:b/>
          <w:i/>
          <w:color w:val="00B050"/>
        </w:rPr>
      </w:pPr>
      <w:r w:rsidRPr="00812D4E">
        <w:rPr>
          <w:rFonts w:cs="Arial"/>
          <w:b/>
          <w:i/>
          <w:color w:val="00B050"/>
        </w:rPr>
        <w:t>N06A</w:t>
      </w:r>
      <w:r w:rsidRPr="00812D4E">
        <w:rPr>
          <w:rFonts w:cs="Arial"/>
          <w:b/>
          <w:i/>
          <w:color w:val="00B050"/>
        </w:rPr>
        <w:tab/>
        <w:t>ANTIDEPRESIVOS</w:t>
      </w:r>
    </w:p>
    <w:p w:rsidR="00812D4E" w:rsidRPr="00812D4E" w:rsidRDefault="00812D4E" w:rsidP="00812D4E">
      <w:pPr>
        <w:tabs>
          <w:tab w:val="left" w:pos="1161"/>
        </w:tabs>
        <w:ind w:left="50"/>
        <w:rPr>
          <w:rFonts w:cs="Arial"/>
          <w:b/>
          <w:i/>
          <w:color w:val="00B050"/>
        </w:rPr>
      </w:pPr>
      <w:r w:rsidRPr="00812D4E">
        <w:rPr>
          <w:rFonts w:cs="Arial"/>
          <w:b/>
          <w:i/>
          <w:color w:val="00B050"/>
        </w:rPr>
        <w:t>N06AB</w:t>
      </w:r>
      <w:r w:rsidRPr="00812D4E">
        <w:rPr>
          <w:rFonts w:cs="Arial"/>
          <w:b/>
          <w:i/>
          <w:color w:val="00B050"/>
        </w:rPr>
        <w:tab/>
        <w:t>INHIBIDORES SELECTIVOS DE LA RECAPTACION DE  SEROTONINA</w:t>
      </w:r>
    </w:p>
    <w:p w:rsidR="00812D4E" w:rsidRPr="00812D4E" w:rsidRDefault="00812D4E" w:rsidP="00812D4E">
      <w:pPr>
        <w:tabs>
          <w:tab w:val="left" w:pos="1161"/>
        </w:tabs>
        <w:ind w:left="50"/>
        <w:rPr>
          <w:rFonts w:cs="Arial"/>
          <w:b/>
          <w:i/>
          <w:color w:val="00B050"/>
        </w:rPr>
      </w:pPr>
      <w:r w:rsidRPr="00812D4E">
        <w:rPr>
          <w:rFonts w:cs="Arial"/>
          <w:b/>
          <w:i/>
          <w:color w:val="00B050"/>
        </w:rPr>
        <w:t>N06AB06</w:t>
      </w:r>
      <w:r w:rsidRPr="00812D4E">
        <w:rPr>
          <w:rFonts w:cs="Arial"/>
          <w:b/>
          <w:i/>
          <w:color w:val="00B050"/>
        </w:rPr>
        <w:tab/>
        <w:t xml:space="preserve">SERTRALINA </w:t>
      </w:r>
    </w:p>
    <w:p w:rsidR="00812D4E" w:rsidRPr="00812D4E" w:rsidRDefault="00812D4E" w:rsidP="00396EBC">
      <w:pPr>
        <w:numPr>
          <w:ilvl w:val="0"/>
          <w:numId w:val="80"/>
        </w:numPr>
        <w:spacing w:after="0" w:line="240" w:lineRule="auto"/>
        <w:jc w:val="both"/>
        <w:rPr>
          <w:rFonts w:cs="Arial"/>
        </w:rPr>
      </w:pPr>
      <w:r w:rsidRPr="00812D4E">
        <w:rPr>
          <w:rFonts w:cs="Arial"/>
        </w:rPr>
        <w:t xml:space="preserve">Antidepresivo de alternativa cuando los inhibidores de la </w:t>
      </w:r>
      <w:proofErr w:type="spellStart"/>
      <w:r w:rsidRPr="00812D4E">
        <w:rPr>
          <w:rFonts w:cs="Arial"/>
        </w:rPr>
        <w:t>recaptación</w:t>
      </w:r>
      <w:proofErr w:type="spellEnd"/>
      <w:r w:rsidRPr="00812D4E">
        <w:rPr>
          <w:rFonts w:cs="Arial"/>
        </w:rPr>
        <w:t xml:space="preserve"> de serotonina, son electivos para tratamiento farmacológico del trastorno depresivo mayor en sus distintas formas de presentación. Dosis: 50 mg en una sola toma por la mañana.</w:t>
      </w:r>
    </w:p>
    <w:p w:rsidR="00812D4E" w:rsidRDefault="00812D4E" w:rsidP="00396EBC">
      <w:pPr>
        <w:numPr>
          <w:ilvl w:val="0"/>
          <w:numId w:val="80"/>
        </w:numPr>
        <w:spacing w:after="0" w:line="240" w:lineRule="auto"/>
        <w:jc w:val="both"/>
        <w:rPr>
          <w:rFonts w:cs="Arial"/>
        </w:rPr>
      </w:pPr>
      <w:r w:rsidRPr="00812D4E">
        <w:rPr>
          <w:rFonts w:cs="Arial"/>
        </w:rPr>
        <w:t>Tratamiento alternativo del trastorno de pánico. Dosis: 50 mg en una sola toma por la mañana.</w:t>
      </w:r>
    </w:p>
    <w:p w:rsidR="00FA0F7F" w:rsidRPr="00812D4E" w:rsidRDefault="00FA0F7F" w:rsidP="00396EBC">
      <w:pPr>
        <w:numPr>
          <w:ilvl w:val="0"/>
          <w:numId w:val="80"/>
        </w:numPr>
        <w:spacing w:after="0" w:line="240" w:lineRule="auto"/>
        <w:jc w:val="both"/>
        <w:rPr>
          <w:rFonts w:cs="Arial"/>
        </w:rPr>
      </w:pPr>
    </w:p>
    <w:p w:rsidR="00FA0F7F" w:rsidRPr="00FA0F7F" w:rsidRDefault="00FA0F7F" w:rsidP="00FA0F7F">
      <w:pPr>
        <w:tabs>
          <w:tab w:val="left" w:pos="1161"/>
        </w:tabs>
        <w:ind w:left="50"/>
        <w:rPr>
          <w:rFonts w:cs="Arial"/>
          <w:b/>
          <w:i/>
          <w:color w:val="00B050"/>
        </w:rPr>
      </w:pPr>
      <w:r w:rsidRPr="00FA0F7F">
        <w:rPr>
          <w:rFonts w:cs="Arial"/>
          <w:b/>
          <w:i/>
          <w:color w:val="00B050"/>
        </w:rPr>
        <w:t>N06AX</w:t>
      </w:r>
      <w:r w:rsidRPr="00FA0F7F">
        <w:rPr>
          <w:rFonts w:cs="Arial"/>
          <w:b/>
          <w:i/>
          <w:color w:val="00B050"/>
        </w:rPr>
        <w:tab/>
        <w:t>OTROS ANTIDEPRESIVOS</w:t>
      </w:r>
    </w:p>
    <w:p w:rsidR="00FA0F7F" w:rsidRPr="00FA0F7F" w:rsidRDefault="00FA0F7F" w:rsidP="00FA0F7F">
      <w:pPr>
        <w:tabs>
          <w:tab w:val="left" w:pos="1161"/>
        </w:tabs>
        <w:ind w:left="50"/>
        <w:rPr>
          <w:rFonts w:cs="Arial"/>
          <w:b/>
          <w:i/>
          <w:color w:val="00B050"/>
        </w:rPr>
      </w:pPr>
      <w:r w:rsidRPr="00FA0F7F">
        <w:rPr>
          <w:rFonts w:cs="Arial"/>
          <w:b/>
          <w:i/>
          <w:color w:val="00B050"/>
        </w:rPr>
        <w:t>N06AX16</w:t>
      </w:r>
      <w:r w:rsidRPr="00FA0F7F">
        <w:rPr>
          <w:rFonts w:cs="Arial"/>
          <w:b/>
          <w:i/>
          <w:color w:val="00B050"/>
        </w:rPr>
        <w:tab/>
        <w:t xml:space="preserve">VENLAFAXINA  </w:t>
      </w:r>
    </w:p>
    <w:p w:rsidR="00FA0F7F" w:rsidRPr="00FA0F7F" w:rsidRDefault="00FA0F7F" w:rsidP="00396EBC">
      <w:pPr>
        <w:numPr>
          <w:ilvl w:val="0"/>
          <w:numId w:val="81"/>
        </w:numPr>
        <w:spacing w:after="0" w:line="240" w:lineRule="auto"/>
        <w:jc w:val="both"/>
        <w:rPr>
          <w:rFonts w:cs="Arial"/>
          <w:b/>
        </w:rPr>
      </w:pPr>
      <w:r w:rsidRPr="00FA0F7F">
        <w:rPr>
          <w:rFonts w:cs="Arial"/>
        </w:rPr>
        <w:t>Antidepresivo de alternativa en pacientes con diagnóstico definido de trastorno depresivo mayor manejado por especialista.</w:t>
      </w:r>
    </w:p>
    <w:p w:rsidR="00FA0F7F" w:rsidRPr="00FA0F7F" w:rsidRDefault="00FA0F7F" w:rsidP="00FA0F7F">
      <w:pPr>
        <w:tabs>
          <w:tab w:val="num" w:pos="720"/>
        </w:tabs>
        <w:ind w:left="720" w:hanging="360"/>
        <w:rPr>
          <w:rFonts w:cs="Arial"/>
        </w:rPr>
      </w:pPr>
      <w:r w:rsidRPr="00FA0F7F">
        <w:rPr>
          <w:rFonts w:cs="Arial"/>
          <w:u w:val="single"/>
        </w:rPr>
        <w:t>Dosis:</w:t>
      </w:r>
      <w:r w:rsidRPr="00FA0F7F">
        <w:rPr>
          <w:rFonts w:cs="Arial"/>
        </w:rPr>
        <w:t xml:space="preserve"> inicio 75 mg/día repartidos en 2 o 3 tomas; mantenimiento 75- </w:t>
      </w:r>
    </w:p>
    <w:p w:rsidR="00FA0F7F" w:rsidRPr="00FA0F7F" w:rsidRDefault="00FA0F7F" w:rsidP="00FA0F7F">
      <w:pPr>
        <w:tabs>
          <w:tab w:val="num" w:pos="720"/>
        </w:tabs>
        <w:ind w:left="720" w:hanging="360"/>
        <w:rPr>
          <w:rFonts w:cs="Arial"/>
        </w:rPr>
      </w:pPr>
      <w:r w:rsidRPr="00FA0F7F">
        <w:rPr>
          <w:rFonts w:cs="Arial"/>
        </w:rPr>
        <w:t xml:space="preserve">          150 mg por día en 2 tomas; máxima 225 mg diarios.</w:t>
      </w:r>
    </w:p>
    <w:p w:rsidR="00FA0F7F" w:rsidRPr="00FA0F7F" w:rsidRDefault="00FA0F7F" w:rsidP="00FA0F7F">
      <w:pPr>
        <w:tabs>
          <w:tab w:val="left" w:pos="1161"/>
        </w:tabs>
        <w:ind w:left="50"/>
        <w:rPr>
          <w:rFonts w:cs="Arial"/>
        </w:rPr>
      </w:pPr>
    </w:p>
    <w:tbl>
      <w:tblPr>
        <w:tblW w:w="9060" w:type="dxa"/>
        <w:tblCellMar>
          <w:left w:w="70" w:type="dxa"/>
          <w:right w:w="70" w:type="dxa"/>
        </w:tblCellMar>
        <w:tblLook w:val="04A0" w:firstRow="1" w:lastRow="0" w:firstColumn="1" w:lastColumn="0" w:noHBand="0" w:noVBand="1"/>
      </w:tblPr>
      <w:tblGrid>
        <w:gridCol w:w="1276"/>
        <w:gridCol w:w="7784"/>
      </w:tblGrid>
      <w:tr w:rsidR="004930D8" w:rsidRPr="003A42F3" w:rsidTr="005653D6">
        <w:trPr>
          <w:trHeight w:val="300"/>
        </w:trPr>
        <w:tc>
          <w:tcPr>
            <w:tcW w:w="1276" w:type="dxa"/>
            <w:tcBorders>
              <w:top w:val="nil"/>
              <w:left w:val="nil"/>
              <w:bottom w:val="nil"/>
              <w:right w:val="nil"/>
            </w:tcBorders>
            <w:shd w:val="clear" w:color="auto" w:fill="auto"/>
            <w:noWrap/>
            <w:vAlign w:val="bottom"/>
            <w:hideMark/>
          </w:tcPr>
          <w:p w:rsidR="004930D8" w:rsidRPr="003A42F3" w:rsidRDefault="004930D8" w:rsidP="003D2229">
            <w:pPr>
              <w:spacing w:after="0" w:line="240" w:lineRule="auto"/>
              <w:rPr>
                <w:b/>
                <w:i/>
                <w:color w:val="00B050"/>
              </w:rPr>
            </w:pPr>
            <w:r w:rsidRPr="003A42F3">
              <w:rPr>
                <w:b/>
                <w:i/>
                <w:color w:val="00B050"/>
              </w:rPr>
              <w:t>N06BA04.A</w:t>
            </w:r>
          </w:p>
        </w:tc>
        <w:tc>
          <w:tcPr>
            <w:tcW w:w="7784" w:type="dxa"/>
            <w:tcBorders>
              <w:top w:val="nil"/>
              <w:left w:val="nil"/>
              <w:bottom w:val="nil"/>
              <w:right w:val="nil"/>
            </w:tcBorders>
            <w:shd w:val="clear" w:color="auto" w:fill="auto"/>
            <w:noWrap/>
            <w:vAlign w:val="center"/>
            <w:hideMark/>
          </w:tcPr>
          <w:p w:rsidR="004930D8" w:rsidRPr="003A42F3" w:rsidRDefault="004930D8" w:rsidP="003D2229">
            <w:pPr>
              <w:spacing w:after="0" w:line="240" w:lineRule="auto"/>
              <w:rPr>
                <w:b/>
                <w:i/>
                <w:color w:val="00B050"/>
              </w:rPr>
            </w:pPr>
            <w:r w:rsidRPr="003A42F3">
              <w:rPr>
                <w:b/>
                <w:i/>
                <w:color w:val="00B050"/>
              </w:rPr>
              <w:t xml:space="preserve">METILFENIDATO </w:t>
            </w:r>
          </w:p>
        </w:tc>
      </w:tr>
    </w:tbl>
    <w:p w:rsidR="002D4B87" w:rsidRPr="003A42F3" w:rsidRDefault="002D4B87" w:rsidP="005A466E">
      <w:pPr>
        <w:pStyle w:val="Prrafodelista"/>
        <w:numPr>
          <w:ilvl w:val="0"/>
          <w:numId w:val="9"/>
        </w:numPr>
        <w:jc w:val="both"/>
      </w:pPr>
      <w:r w:rsidRPr="003A42F3">
        <w:t xml:space="preserve">Fármaco </w:t>
      </w:r>
      <w:r w:rsidR="00FA6D64" w:rsidRPr="003A42F3">
        <w:t xml:space="preserve">de elección para el tratamiento del déficit de atención asociado a hiperactividad en niños mayores a 6 años, con abordaje integral del equipo de salud con la presencia de un especialista en salud mental. </w:t>
      </w:r>
    </w:p>
    <w:p w:rsidR="006944D7" w:rsidRPr="003A42F3" w:rsidRDefault="00FA6D64" w:rsidP="002D4B87">
      <w:pPr>
        <w:pStyle w:val="Prrafodelista"/>
        <w:ind w:left="1440"/>
        <w:jc w:val="both"/>
      </w:pPr>
      <w:r w:rsidRPr="003A42F3">
        <w:rPr>
          <w:u w:val="single"/>
        </w:rPr>
        <w:t>Dosis;</w:t>
      </w:r>
      <w:r w:rsidRPr="003A42F3">
        <w:t xml:space="preserve"> 10-60 mg/día repartidos en 2-3 tomas</w:t>
      </w:r>
      <w:r w:rsidR="00DF582F" w:rsidRPr="003A42F3">
        <w:t>.</w:t>
      </w:r>
    </w:p>
    <w:p w:rsidR="00DF582F" w:rsidRPr="003A42F3" w:rsidRDefault="00DF582F" w:rsidP="002D4B87">
      <w:pPr>
        <w:pStyle w:val="Prrafodelista"/>
        <w:ind w:left="1440"/>
        <w:jc w:val="both"/>
      </w:pPr>
    </w:p>
    <w:tbl>
      <w:tblPr>
        <w:tblW w:w="9116" w:type="dxa"/>
        <w:tblCellMar>
          <w:left w:w="70" w:type="dxa"/>
          <w:right w:w="70" w:type="dxa"/>
        </w:tblCellMar>
        <w:tblLook w:val="04A0" w:firstRow="1" w:lastRow="0" w:firstColumn="1" w:lastColumn="0" w:noHBand="0" w:noVBand="1"/>
      </w:tblPr>
      <w:tblGrid>
        <w:gridCol w:w="1190"/>
        <w:gridCol w:w="7926"/>
      </w:tblGrid>
      <w:tr w:rsidR="004930D8" w:rsidRPr="003A42F3" w:rsidTr="00605A54">
        <w:trPr>
          <w:trHeight w:val="300"/>
        </w:trPr>
        <w:tc>
          <w:tcPr>
            <w:tcW w:w="1190" w:type="dxa"/>
            <w:tcBorders>
              <w:top w:val="nil"/>
              <w:left w:val="nil"/>
              <w:bottom w:val="nil"/>
              <w:right w:val="nil"/>
            </w:tcBorders>
            <w:shd w:val="clear" w:color="auto" w:fill="auto"/>
            <w:noWrap/>
            <w:vAlign w:val="bottom"/>
            <w:hideMark/>
          </w:tcPr>
          <w:p w:rsidR="004930D8" w:rsidRPr="003A42F3" w:rsidRDefault="004930D8" w:rsidP="003D2229">
            <w:pPr>
              <w:spacing w:after="0" w:line="240" w:lineRule="auto"/>
              <w:rPr>
                <w:b/>
                <w:i/>
                <w:color w:val="00B050"/>
              </w:rPr>
            </w:pPr>
            <w:r w:rsidRPr="003A42F3">
              <w:rPr>
                <w:b/>
                <w:i/>
                <w:color w:val="00B050"/>
              </w:rPr>
              <w:t>N07AA02.A</w:t>
            </w:r>
          </w:p>
        </w:tc>
        <w:tc>
          <w:tcPr>
            <w:tcW w:w="7926" w:type="dxa"/>
            <w:tcBorders>
              <w:top w:val="nil"/>
              <w:left w:val="nil"/>
              <w:bottom w:val="nil"/>
              <w:right w:val="nil"/>
            </w:tcBorders>
            <w:shd w:val="clear" w:color="auto" w:fill="auto"/>
            <w:noWrap/>
            <w:vAlign w:val="center"/>
            <w:hideMark/>
          </w:tcPr>
          <w:p w:rsidR="004930D8" w:rsidRPr="003A42F3" w:rsidRDefault="004930D8" w:rsidP="003D2229">
            <w:pPr>
              <w:spacing w:after="0" w:line="240" w:lineRule="auto"/>
              <w:rPr>
                <w:b/>
                <w:i/>
                <w:color w:val="00B050"/>
              </w:rPr>
            </w:pPr>
            <w:r w:rsidRPr="003A42F3">
              <w:rPr>
                <w:b/>
                <w:i/>
                <w:color w:val="00B050"/>
              </w:rPr>
              <w:t xml:space="preserve">PIRIDOSTIGMINA </w:t>
            </w:r>
          </w:p>
        </w:tc>
      </w:tr>
    </w:tbl>
    <w:p w:rsidR="006944D7" w:rsidRPr="003A42F3" w:rsidRDefault="006944D7" w:rsidP="005A466E">
      <w:pPr>
        <w:pStyle w:val="Prrafodelista"/>
        <w:numPr>
          <w:ilvl w:val="0"/>
          <w:numId w:val="9"/>
        </w:numPr>
        <w:jc w:val="both"/>
      </w:pPr>
      <w:r w:rsidRPr="003A42F3">
        <w:t xml:space="preserve">Tratamiento de elección de la miastenia gravis. </w:t>
      </w:r>
    </w:p>
    <w:p w:rsidR="004930D8" w:rsidRPr="003A42F3" w:rsidRDefault="006944D7" w:rsidP="006944D7">
      <w:pPr>
        <w:pStyle w:val="Prrafodelista"/>
        <w:ind w:left="1440"/>
        <w:jc w:val="both"/>
      </w:pPr>
      <w:r w:rsidRPr="003A42F3">
        <w:rPr>
          <w:u w:val="single"/>
        </w:rPr>
        <w:t>Dosis:</w:t>
      </w:r>
      <w:r w:rsidRPr="003A42F3">
        <w:t xml:space="preserve"> de mantenimiento 600mg/día; 2 a 3 comprimidos a intervalos regulares de 4 horas.</w:t>
      </w:r>
    </w:p>
    <w:p w:rsidR="005677D9" w:rsidRPr="003A42F3" w:rsidRDefault="005677D9" w:rsidP="00581CDD">
      <w:pPr>
        <w:spacing w:after="0" w:line="240" w:lineRule="auto"/>
        <w:rPr>
          <w:b/>
          <w:i/>
          <w:color w:val="00B050"/>
        </w:rPr>
      </w:pPr>
    </w:p>
    <w:p w:rsidR="00581CDD" w:rsidRPr="003A42F3" w:rsidRDefault="00941EC9" w:rsidP="00581CDD">
      <w:pPr>
        <w:spacing w:after="0" w:line="240" w:lineRule="auto"/>
        <w:rPr>
          <w:b/>
          <w:i/>
          <w:color w:val="00B050"/>
          <w:lang w:val="pt-BR"/>
        </w:rPr>
      </w:pPr>
      <w:r w:rsidRPr="003A42F3">
        <w:rPr>
          <w:b/>
          <w:i/>
          <w:color w:val="00B050"/>
        </w:rPr>
        <w:t>N07BA01 NICOTINA</w:t>
      </w:r>
    </w:p>
    <w:p w:rsidR="00581CDD" w:rsidRPr="003A42F3" w:rsidRDefault="00581CDD" w:rsidP="00581CDD">
      <w:pPr>
        <w:spacing w:after="0" w:line="240" w:lineRule="auto"/>
        <w:rPr>
          <w:b/>
          <w:i/>
          <w:color w:val="00B050"/>
          <w:lang w:val="pt-BR"/>
        </w:rPr>
      </w:pPr>
    </w:p>
    <w:p w:rsidR="0026028B" w:rsidRPr="003A42F3" w:rsidRDefault="0026028B" w:rsidP="005A466E">
      <w:pPr>
        <w:pStyle w:val="Prrafodelista"/>
        <w:numPr>
          <w:ilvl w:val="0"/>
          <w:numId w:val="9"/>
        </w:numPr>
        <w:jc w:val="both"/>
      </w:pPr>
      <w:r w:rsidRPr="003A42F3">
        <w:t xml:space="preserve">Tratamiento coadyuvante a un programa de deshabituación de fumadores. </w:t>
      </w:r>
    </w:p>
    <w:p w:rsidR="0026028B" w:rsidRPr="003A42F3" w:rsidRDefault="0026028B" w:rsidP="005A466E">
      <w:pPr>
        <w:pStyle w:val="Prrafodelista"/>
        <w:numPr>
          <w:ilvl w:val="0"/>
          <w:numId w:val="9"/>
        </w:numPr>
        <w:jc w:val="both"/>
      </w:pPr>
      <w:r w:rsidRPr="003A42F3">
        <w:t xml:space="preserve">Fumadores de más de 20 cigarrillos al día: Aplicar un parche de 15 mg/16 horas (30 cm2) por la mañana y retirarlo al acostarse. La duración del tratamiento es individual, pero la experiencia clínica ha demostrado que el tratamiento debe seguirse durante 3 meses, seguido de una reducción gradual de la dosis mediante el uso de parches de 10 mg/16 horas (20 cm2) durante 2-4 semanas y luego de un parche de 5 mg/16 horas (10 cm2) diariamente durante 2-4 semanas. </w:t>
      </w:r>
    </w:p>
    <w:p w:rsidR="0026028B" w:rsidRPr="003A42F3" w:rsidRDefault="0026028B" w:rsidP="005A466E">
      <w:pPr>
        <w:pStyle w:val="Prrafodelista"/>
        <w:numPr>
          <w:ilvl w:val="0"/>
          <w:numId w:val="9"/>
        </w:numPr>
        <w:jc w:val="both"/>
      </w:pPr>
      <w:r w:rsidRPr="003A42F3">
        <w:t>Fumadores de menos de 20 cigarrillos al día: Aplicar un parche de 15 mg/16 horas (30 cm2) por la mañana y retirarlo al acostarse. La duración del tratamiento es individual, pero la experiencia clínica ha demostrado que el tratamiento debe seguirse durante 8 semanas, seguido de una reducción gradual de la dosis mediante el uso de parches de 10 mg/16 horas (20 cm2) durante 2-4 semanas y luego de un parche de 5 mg/16 horas (10 cm</w:t>
      </w:r>
      <w:r w:rsidRPr="003A42F3">
        <w:sym w:font="Symbol" w:char="F032"/>
      </w:r>
      <w:r w:rsidRPr="003A42F3">
        <w:t>) diariamente durante 2-4 semanas.</w:t>
      </w:r>
    </w:p>
    <w:p w:rsidR="0026028B" w:rsidRPr="003A42F3" w:rsidRDefault="0026028B" w:rsidP="00581CDD">
      <w:pPr>
        <w:spacing w:after="0" w:line="240" w:lineRule="auto"/>
        <w:rPr>
          <w:b/>
          <w:i/>
          <w:color w:val="00B050"/>
        </w:rPr>
      </w:pPr>
    </w:p>
    <w:p w:rsidR="00581CDD" w:rsidRPr="003A42F3" w:rsidRDefault="00581CDD" w:rsidP="00581CDD">
      <w:pPr>
        <w:spacing w:after="0" w:line="240" w:lineRule="auto"/>
        <w:rPr>
          <w:b/>
          <w:i/>
          <w:color w:val="00B050"/>
          <w:lang w:val="pt-BR"/>
        </w:rPr>
      </w:pPr>
      <w:r w:rsidRPr="003A42F3">
        <w:rPr>
          <w:b/>
          <w:i/>
          <w:color w:val="00B050"/>
        </w:rPr>
        <w:t>N07BA03 VARENICLINA</w:t>
      </w:r>
    </w:p>
    <w:p w:rsidR="00581CDD" w:rsidRPr="003A42F3" w:rsidRDefault="00581CDD" w:rsidP="00581CDD">
      <w:pPr>
        <w:spacing w:after="0" w:line="240" w:lineRule="auto"/>
        <w:rPr>
          <w:b/>
          <w:i/>
          <w:color w:val="00B050"/>
          <w:lang w:val="pt-BR"/>
        </w:rPr>
      </w:pPr>
    </w:p>
    <w:p w:rsidR="00581CDD" w:rsidRPr="003A42F3" w:rsidRDefault="00581CDD" w:rsidP="005A466E">
      <w:pPr>
        <w:pStyle w:val="Prrafodelista"/>
        <w:numPr>
          <w:ilvl w:val="0"/>
          <w:numId w:val="9"/>
        </w:numPr>
        <w:jc w:val="both"/>
      </w:pPr>
      <w:r w:rsidRPr="003A42F3">
        <w:t xml:space="preserve">Las terapias de deshabituación tabáquica tienen más posibilidades de éxito en los pacientes que están motivados para dejar de fumar y que tienen asesoramiento y apoyo adicional. </w:t>
      </w:r>
    </w:p>
    <w:p w:rsidR="00581CDD" w:rsidRPr="003A42F3" w:rsidRDefault="00581CDD" w:rsidP="005A466E">
      <w:pPr>
        <w:pStyle w:val="Prrafodelista"/>
        <w:numPr>
          <w:ilvl w:val="0"/>
          <w:numId w:val="9"/>
        </w:numPr>
        <w:jc w:val="both"/>
      </w:pPr>
      <w:r w:rsidRPr="003A42F3">
        <w:t>La eficacia de vareniclina en la deshabituación tabáquica se demostró en 3 ensayos clínicos con fumadores crónicos de cigarrillos (</w:t>
      </w:r>
      <w:r w:rsidRPr="003A42F3">
        <w:sym w:font="Symbol" w:char="F0B3"/>
      </w:r>
      <w:r w:rsidRPr="003A42F3">
        <w:t xml:space="preserve">10 cigarrillos al día). </w:t>
      </w:r>
    </w:p>
    <w:p w:rsidR="00581CDD" w:rsidRPr="003A42F3" w:rsidRDefault="00581CDD" w:rsidP="005A466E">
      <w:pPr>
        <w:pStyle w:val="Prrafodelista"/>
        <w:numPr>
          <w:ilvl w:val="0"/>
          <w:numId w:val="9"/>
        </w:numPr>
        <w:jc w:val="both"/>
      </w:pPr>
      <w:r w:rsidRPr="003A42F3">
        <w:t>Dos ensayos clínicos doble ciego compararon prospectivamente la eficacia de vareniclina (1 mg dos veces al día), bupropión de liberación prolongada (150 mg dos veces al día) y placebo en la deshabituación tabáquica. En estos estudios de 52 semanas de duración, los pacientes recibieron tratamiento durante 12 semanas, seguido de una fase sin tratamiento de 40 semanas.</w:t>
      </w:r>
    </w:p>
    <w:p w:rsidR="00581CDD" w:rsidRPr="003A42F3" w:rsidRDefault="00581CDD" w:rsidP="005A466E">
      <w:pPr>
        <w:pStyle w:val="Prrafodelista"/>
        <w:numPr>
          <w:ilvl w:val="0"/>
          <w:numId w:val="9"/>
        </w:numPr>
        <w:jc w:val="both"/>
      </w:pPr>
      <w:r w:rsidRPr="003A42F3">
        <w:t xml:space="preserve">Vareniclina mostro superioridad estadística en la tasa de abandono entre la semana 9 y 12 del estudio (44%) y mantuvo mayor beneficio a la semana 52 (22%) frente a bupropion (29,5% y 16,4%) y placebo (17,7% y 8,5%) respectivamente. </w:t>
      </w:r>
    </w:p>
    <w:p w:rsidR="00581CDD" w:rsidRPr="003A42F3" w:rsidRDefault="00581CDD" w:rsidP="00581CDD">
      <w:pPr>
        <w:pStyle w:val="Prrafodelista"/>
        <w:ind w:left="1440"/>
        <w:jc w:val="both"/>
        <w:rPr>
          <w:b/>
          <w:i/>
          <w:color w:val="00B050"/>
        </w:rPr>
      </w:pPr>
      <w:r w:rsidRPr="003A42F3">
        <w:rPr>
          <w:u w:val="single"/>
        </w:rPr>
        <w:t>Dosis:</w:t>
      </w:r>
      <w:r w:rsidRPr="003A42F3">
        <w:t xml:space="preserve"> tratamiento debe iniciar 2 semanas antes de la fecha de inicio de abandono establecida por el paciente. La dosis recomendada es 1 mg de vareniclina dos veces al día después de una titulación semanal tal y como se enuncia a continuación: Días 1 – 3: 0,5 mg una vez al día Días 4 – 7: 0,5 mg dos veces al día. Día 8 – Fin del tratamiento: 1 mg dos veces al día</w:t>
      </w:r>
    </w:p>
    <w:p w:rsidR="00581CDD" w:rsidRPr="003A42F3" w:rsidRDefault="00581CDD" w:rsidP="00581CDD">
      <w:pPr>
        <w:spacing w:after="0" w:line="240" w:lineRule="auto"/>
        <w:rPr>
          <w:b/>
          <w:i/>
          <w:color w:val="00B050"/>
        </w:rPr>
      </w:pPr>
    </w:p>
    <w:p w:rsidR="00581CDD" w:rsidRPr="003A42F3" w:rsidRDefault="00581CDD" w:rsidP="00581CDD">
      <w:pPr>
        <w:spacing w:after="0" w:line="240" w:lineRule="auto"/>
        <w:rPr>
          <w:b/>
          <w:i/>
          <w:color w:val="00B050"/>
        </w:rPr>
      </w:pPr>
      <w:r w:rsidRPr="003A42F3">
        <w:rPr>
          <w:b/>
          <w:i/>
          <w:color w:val="00B050"/>
        </w:rPr>
        <w:t xml:space="preserve">N07BB04 NALTREXONA </w:t>
      </w:r>
    </w:p>
    <w:p w:rsidR="00A507AC" w:rsidRPr="003A42F3" w:rsidRDefault="00A507AC" w:rsidP="00BD4CF1">
      <w:pPr>
        <w:jc w:val="both"/>
        <w:rPr>
          <w:b/>
          <w:i/>
          <w:color w:val="00B050"/>
        </w:rPr>
      </w:pPr>
    </w:p>
    <w:p w:rsidR="00581CDD" w:rsidRPr="003A42F3" w:rsidRDefault="00581CDD" w:rsidP="005A466E">
      <w:pPr>
        <w:pStyle w:val="Prrafodelista"/>
        <w:numPr>
          <w:ilvl w:val="0"/>
          <w:numId w:val="9"/>
        </w:numPr>
        <w:jc w:val="both"/>
      </w:pPr>
      <w:r w:rsidRPr="003A42F3">
        <w:t xml:space="preserve">Tratamiento de la dependencia del alcohol y de los efectos de la administración exógena de sustancias opioides. </w:t>
      </w:r>
    </w:p>
    <w:p w:rsidR="00581CDD" w:rsidRPr="003A42F3" w:rsidRDefault="00581CDD" w:rsidP="005A466E">
      <w:pPr>
        <w:pStyle w:val="Prrafodelista"/>
        <w:numPr>
          <w:ilvl w:val="0"/>
          <w:numId w:val="9"/>
        </w:numPr>
        <w:jc w:val="both"/>
      </w:pPr>
      <w:r w:rsidRPr="003A42F3">
        <w:t xml:space="preserve">Tratamiento del alcoholismo: 50mg por día. </w:t>
      </w:r>
    </w:p>
    <w:p w:rsidR="00581CDD" w:rsidRPr="003A42F3" w:rsidRDefault="00581CDD" w:rsidP="005A466E">
      <w:pPr>
        <w:pStyle w:val="Prrafodelista"/>
        <w:numPr>
          <w:ilvl w:val="0"/>
          <w:numId w:val="9"/>
        </w:numPr>
        <w:jc w:val="both"/>
      </w:pPr>
      <w:r w:rsidRPr="003A42F3">
        <w:t xml:space="preserve">Tratamiento de la dependencia de narcóticos: dosis inicial: 25mg por día. </w:t>
      </w:r>
    </w:p>
    <w:p w:rsidR="00581CDD" w:rsidRPr="003A42F3" w:rsidRDefault="00581CDD" w:rsidP="00581CDD">
      <w:pPr>
        <w:pStyle w:val="Prrafodelista"/>
        <w:ind w:left="1440"/>
        <w:jc w:val="both"/>
      </w:pPr>
      <w:r w:rsidRPr="003A42F3">
        <w:lastRenderedPageBreak/>
        <w:t>Dosis de mantenimiento: 50mg por día. El tratamiento no debe comenzar hasta que el paciente haya estado libre de sustancias opiáceas por 7 a 10 días.</w:t>
      </w:r>
    </w:p>
    <w:p w:rsidR="00CC1EB5" w:rsidRPr="00CC1EB5" w:rsidRDefault="00CC1EB5" w:rsidP="00CC1EB5">
      <w:pPr>
        <w:tabs>
          <w:tab w:val="left" w:pos="1161"/>
        </w:tabs>
        <w:ind w:left="50"/>
        <w:rPr>
          <w:rFonts w:cs="Arial"/>
          <w:b/>
          <w:i/>
          <w:color w:val="00B050"/>
        </w:rPr>
      </w:pPr>
      <w:r w:rsidRPr="00CC1EB5">
        <w:rPr>
          <w:rFonts w:cs="Arial"/>
          <w:b/>
          <w:i/>
          <w:color w:val="00B050"/>
        </w:rPr>
        <w:t>R01A</w:t>
      </w:r>
      <w:r w:rsidRPr="00CC1EB5">
        <w:rPr>
          <w:rFonts w:cs="Arial"/>
          <w:b/>
          <w:i/>
          <w:color w:val="00B050"/>
        </w:rPr>
        <w:tab/>
        <w:t>DESCONGESTIVOS Y OTRAS PREPARACIONES NASALES DE USO   TOPICO</w:t>
      </w:r>
    </w:p>
    <w:p w:rsidR="00CC1EB5" w:rsidRPr="00CC1EB5" w:rsidRDefault="00CC1EB5" w:rsidP="00CC1EB5">
      <w:pPr>
        <w:tabs>
          <w:tab w:val="left" w:pos="1161"/>
        </w:tabs>
        <w:ind w:left="50"/>
        <w:rPr>
          <w:rFonts w:cs="Arial"/>
          <w:b/>
          <w:i/>
          <w:color w:val="00B050"/>
        </w:rPr>
      </w:pPr>
      <w:r w:rsidRPr="00CC1EB5">
        <w:rPr>
          <w:rFonts w:cs="Arial"/>
          <w:b/>
          <w:i/>
          <w:color w:val="00B050"/>
        </w:rPr>
        <w:t>R01AD</w:t>
      </w:r>
      <w:r w:rsidRPr="00CC1EB5">
        <w:rPr>
          <w:rFonts w:cs="Arial"/>
          <w:b/>
          <w:i/>
          <w:color w:val="00B050"/>
        </w:rPr>
        <w:tab/>
        <w:t>CORTICOSTEROIDES</w:t>
      </w:r>
    </w:p>
    <w:p w:rsidR="00CC1EB5" w:rsidRPr="00CC1EB5" w:rsidRDefault="00CC1EB5" w:rsidP="00CC1EB5">
      <w:pPr>
        <w:tabs>
          <w:tab w:val="left" w:pos="1161"/>
        </w:tabs>
        <w:rPr>
          <w:rFonts w:cs="Arial"/>
          <w:b/>
          <w:i/>
          <w:color w:val="00B050"/>
        </w:rPr>
      </w:pPr>
      <w:r w:rsidRPr="00CC1EB5">
        <w:rPr>
          <w:rFonts w:cs="Arial"/>
          <w:b/>
          <w:i/>
          <w:color w:val="00B050"/>
        </w:rPr>
        <w:t>R01AD09</w:t>
      </w:r>
      <w:r w:rsidRPr="00CC1EB5">
        <w:rPr>
          <w:rFonts w:cs="Arial"/>
          <w:b/>
          <w:i/>
          <w:color w:val="00B050"/>
        </w:rPr>
        <w:tab/>
        <w:t xml:space="preserve">MOMETASONA FUROATO </w:t>
      </w:r>
    </w:p>
    <w:p w:rsidR="00CC1EB5" w:rsidRPr="00CC1EB5" w:rsidRDefault="00CC1EB5" w:rsidP="00396EBC">
      <w:pPr>
        <w:numPr>
          <w:ilvl w:val="0"/>
          <w:numId w:val="81"/>
        </w:numPr>
        <w:spacing w:after="0" w:line="240" w:lineRule="auto"/>
        <w:jc w:val="both"/>
        <w:rPr>
          <w:rFonts w:cs="Arial"/>
        </w:rPr>
      </w:pPr>
      <w:r w:rsidRPr="00CC1EB5">
        <w:rPr>
          <w:rFonts w:cs="Arial"/>
        </w:rPr>
        <w:t>Corticoide de uso tópico (</w:t>
      </w:r>
      <w:proofErr w:type="spellStart"/>
      <w:r w:rsidRPr="00CC1EB5">
        <w:rPr>
          <w:rFonts w:cs="Arial"/>
        </w:rPr>
        <w:t>intranasal</w:t>
      </w:r>
      <w:proofErr w:type="spellEnd"/>
      <w:r w:rsidRPr="00CC1EB5">
        <w:rPr>
          <w:rFonts w:cs="Arial"/>
        </w:rPr>
        <w:t>) de alternativa (ante fallo o intolerancia) para tratamiento de la rinitis alérgica.</w:t>
      </w:r>
    </w:p>
    <w:p w:rsidR="00CC1EB5" w:rsidRPr="00CC1EB5" w:rsidRDefault="00CC1EB5" w:rsidP="00CC1EB5">
      <w:pPr>
        <w:tabs>
          <w:tab w:val="num" w:pos="720"/>
        </w:tabs>
        <w:ind w:left="720" w:hanging="360"/>
        <w:jc w:val="both"/>
        <w:rPr>
          <w:rFonts w:cs="Arial"/>
        </w:rPr>
      </w:pPr>
      <w:r w:rsidRPr="00CC1EB5">
        <w:rPr>
          <w:rFonts w:cs="Arial"/>
          <w:u w:val="single"/>
        </w:rPr>
        <w:t>Dosis:</w:t>
      </w:r>
      <w:r w:rsidRPr="00CC1EB5">
        <w:rPr>
          <w:rFonts w:cs="Arial"/>
        </w:rPr>
        <w:t xml:space="preserve"> variable según uso clínico.</w:t>
      </w:r>
    </w:p>
    <w:p w:rsidR="00CC1EB5" w:rsidRPr="00CC1EB5" w:rsidRDefault="00CC1EB5" w:rsidP="00CC1EB5">
      <w:pPr>
        <w:tabs>
          <w:tab w:val="left" w:pos="1161"/>
        </w:tabs>
        <w:ind w:left="50"/>
        <w:rPr>
          <w:rFonts w:cs="Arial"/>
          <w:b/>
          <w:i/>
          <w:color w:val="00B050"/>
        </w:rPr>
      </w:pPr>
    </w:p>
    <w:p w:rsidR="00CC1EB5" w:rsidRPr="00CC1EB5" w:rsidRDefault="00CC1EB5" w:rsidP="00CC1EB5">
      <w:pPr>
        <w:tabs>
          <w:tab w:val="left" w:pos="1161"/>
        </w:tabs>
        <w:ind w:left="50"/>
        <w:rPr>
          <w:rFonts w:cs="Arial"/>
          <w:b/>
          <w:bCs/>
          <w:i/>
          <w:color w:val="00B050"/>
        </w:rPr>
      </w:pPr>
      <w:r w:rsidRPr="00CC1EB5">
        <w:rPr>
          <w:rFonts w:cs="Arial"/>
          <w:b/>
          <w:i/>
          <w:color w:val="00B050"/>
        </w:rPr>
        <w:t>R03</w:t>
      </w:r>
      <w:r w:rsidRPr="00CC1EB5">
        <w:rPr>
          <w:rFonts w:cs="Arial"/>
          <w:b/>
          <w:i/>
          <w:color w:val="00B050"/>
        </w:rPr>
        <w:tab/>
      </w:r>
      <w:r w:rsidRPr="00CC1EB5">
        <w:rPr>
          <w:rFonts w:cs="Arial"/>
          <w:b/>
          <w:bCs/>
          <w:i/>
          <w:color w:val="00B050"/>
        </w:rPr>
        <w:t>ANTIASMATICOS</w:t>
      </w:r>
    </w:p>
    <w:p w:rsidR="00CC1EB5" w:rsidRPr="00CC1EB5" w:rsidRDefault="00CC1EB5" w:rsidP="00CC1EB5">
      <w:pPr>
        <w:tabs>
          <w:tab w:val="left" w:pos="1161"/>
        </w:tabs>
        <w:ind w:left="50"/>
        <w:rPr>
          <w:rFonts w:cs="Arial"/>
          <w:b/>
          <w:i/>
          <w:color w:val="00B050"/>
        </w:rPr>
      </w:pPr>
      <w:r w:rsidRPr="00CC1EB5">
        <w:rPr>
          <w:rFonts w:cs="Arial"/>
          <w:b/>
          <w:i/>
          <w:color w:val="00B050"/>
        </w:rPr>
        <w:t>R03AC</w:t>
      </w:r>
      <w:r w:rsidRPr="00CC1EB5">
        <w:rPr>
          <w:rFonts w:cs="Arial"/>
          <w:b/>
          <w:i/>
          <w:color w:val="00B050"/>
        </w:rPr>
        <w:tab/>
        <w:t>AGONISTAS SELECTIVOS BETA-2-ADRENERGICOS</w:t>
      </w:r>
    </w:p>
    <w:p w:rsidR="00CC1EB5" w:rsidRPr="00CC1EB5" w:rsidRDefault="00CC1EB5" w:rsidP="00CC1EB5">
      <w:pPr>
        <w:tabs>
          <w:tab w:val="left" w:pos="1161"/>
        </w:tabs>
        <w:ind w:left="50"/>
        <w:rPr>
          <w:rFonts w:cs="Arial"/>
          <w:b/>
          <w:i/>
          <w:color w:val="00B050"/>
        </w:rPr>
      </w:pPr>
      <w:r w:rsidRPr="00CC1EB5">
        <w:rPr>
          <w:rFonts w:cs="Arial"/>
          <w:b/>
          <w:i/>
          <w:color w:val="00B050"/>
        </w:rPr>
        <w:t>R03AC03</w:t>
      </w:r>
      <w:r w:rsidRPr="00CC1EB5">
        <w:rPr>
          <w:rFonts w:cs="Arial"/>
          <w:b/>
          <w:i/>
          <w:color w:val="00B050"/>
        </w:rPr>
        <w:tab/>
        <w:t>TERBUTALINA SULFATO</w:t>
      </w:r>
    </w:p>
    <w:p w:rsidR="00CC1EB5" w:rsidRPr="00CC1EB5" w:rsidRDefault="00CC1EB5" w:rsidP="00396EBC">
      <w:pPr>
        <w:numPr>
          <w:ilvl w:val="0"/>
          <w:numId w:val="81"/>
        </w:numPr>
        <w:spacing w:after="0" w:line="240" w:lineRule="auto"/>
        <w:jc w:val="both"/>
        <w:rPr>
          <w:rFonts w:cs="Arial"/>
          <w:b/>
        </w:rPr>
      </w:pPr>
      <w:r w:rsidRPr="00CC1EB5">
        <w:rPr>
          <w:rFonts w:cs="Arial"/>
        </w:rPr>
        <w:t>Agonista B2 de alternativa al salbutamol en casos seleccionados de pacientes con asma bronquial no controlada, que no demanden aún la institución de un beta 2 de vida media prolongada.</w:t>
      </w:r>
    </w:p>
    <w:p w:rsidR="00CC1EB5" w:rsidRPr="00CC1EB5" w:rsidRDefault="00CC1EB5" w:rsidP="00CC1EB5">
      <w:pPr>
        <w:pStyle w:val="Sangra2detindependiente"/>
        <w:spacing w:line="240" w:lineRule="auto"/>
        <w:ind w:left="360"/>
        <w:rPr>
          <w:rFonts w:asciiTheme="minorHAnsi" w:hAnsiTheme="minorHAnsi"/>
          <w:sz w:val="22"/>
          <w:szCs w:val="22"/>
        </w:rPr>
      </w:pPr>
      <w:r w:rsidRPr="00CC1EB5">
        <w:rPr>
          <w:rFonts w:asciiTheme="minorHAnsi" w:hAnsiTheme="minorHAnsi"/>
          <w:sz w:val="22"/>
          <w:szCs w:val="22"/>
          <w:u w:val="single"/>
        </w:rPr>
        <w:t>Dosis</w:t>
      </w:r>
      <w:r w:rsidRPr="00CC1EB5">
        <w:rPr>
          <w:rFonts w:asciiTheme="minorHAnsi" w:hAnsiTheme="minorHAnsi"/>
          <w:sz w:val="22"/>
          <w:szCs w:val="22"/>
        </w:rPr>
        <w:t xml:space="preserve">: 400 </w:t>
      </w:r>
      <w:proofErr w:type="spellStart"/>
      <w:r w:rsidRPr="00CC1EB5">
        <w:rPr>
          <w:rFonts w:asciiTheme="minorHAnsi" w:hAnsiTheme="minorHAnsi"/>
          <w:sz w:val="22"/>
          <w:szCs w:val="22"/>
        </w:rPr>
        <w:t>mcg</w:t>
      </w:r>
      <w:proofErr w:type="spellEnd"/>
      <w:r w:rsidRPr="00CC1EB5">
        <w:rPr>
          <w:rFonts w:asciiTheme="minorHAnsi" w:hAnsiTheme="minorHAnsi"/>
          <w:sz w:val="22"/>
          <w:szCs w:val="22"/>
        </w:rPr>
        <w:t xml:space="preserve"> cada 4-6 horas por vía inhalatoria; 9,25 en dosis SC con una repetición dentro de las 4 horas de administrada la primera inyección.</w:t>
      </w:r>
    </w:p>
    <w:p w:rsidR="00CC1EB5" w:rsidRPr="00CC1EB5" w:rsidRDefault="00CC1EB5" w:rsidP="00CC1EB5">
      <w:pPr>
        <w:tabs>
          <w:tab w:val="left" w:pos="1161"/>
        </w:tabs>
        <w:ind w:left="50"/>
        <w:rPr>
          <w:rFonts w:cs="Arial"/>
          <w:color w:val="008080"/>
        </w:rPr>
      </w:pPr>
    </w:p>
    <w:p w:rsidR="00CC1EB5" w:rsidRPr="00CC1EB5" w:rsidRDefault="00CC1EB5" w:rsidP="00CC1EB5">
      <w:pPr>
        <w:tabs>
          <w:tab w:val="left" w:pos="1161"/>
        </w:tabs>
        <w:ind w:left="50"/>
        <w:rPr>
          <w:rFonts w:cs="Arial"/>
          <w:b/>
          <w:i/>
          <w:color w:val="00B050"/>
        </w:rPr>
      </w:pPr>
      <w:r w:rsidRPr="00CC1EB5">
        <w:rPr>
          <w:rFonts w:cs="Arial"/>
          <w:b/>
          <w:i/>
          <w:color w:val="00B050"/>
        </w:rPr>
        <w:t>R03AK</w:t>
      </w:r>
      <w:r w:rsidRPr="00CC1EB5">
        <w:rPr>
          <w:rFonts w:cs="Arial"/>
          <w:b/>
          <w:i/>
          <w:color w:val="00B050"/>
        </w:rPr>
        <w:tab/>
        <w:t>ADRENERGICOS Y OTROS ANTIASMATICOS</w:t>
      </w:r>
    </w:p>
    <w:p w:rsidR="00CC1EB5" w:rsidRPr="00CC1EB5" w:rsidRDefault="00CC1EB5" w:rsidP="00CC1EB5">
      <w:pPr>
        <w:tabs>
          <w:tab w:val="left" w:pos="1161"/>
        </w:tabs>
        <w:ind w:left="50"/>
        <w:rPr>
          <w:rFonts w:cs="Arial"/>
          <w:b/>
          <w:i/>
          <w:color w:val="00B050"/>
        </w:rPr>
      </w:pPr>
      <w:r w:rsidRPr="00CC1EB5">
        <w:rPr>
          <w:rFonts w:cs="Arial"/>
          <w:b/>
          <w:i/>
          <w:color w:val="00B050"/>
        </w:rPr>
        <w:t>R03AK06</w:t>
      </w:r>
      <w:r w:rsidRPr="00CC1EB5">
        <w:rPr>
          <w:rFonts w:cs="Arial"/>
          <w:b/>
          <w:i/>
          <w:color w:val="00B050"/>
        </w:rPr>
        <w:tab/>
        <w:t xml:space="preserve">SALMETEROL Y FLUTICASONA PROPIONATO  </w:t>
      </w:r>
    </w:p>
    <w:p w:rsidR="00CC1EB5" w:rsidRPr="00CC1EB5" w:rsidRDefault="00CC1EB5" w:rsidP="00396EBC">
      <w:pPr>
        <w:numPr>
          <w:ilvl w:val="0"/>
          <w:numId w:val="86"/>
        </w:numPr>
        <w:tabs>
          <w:tab w:val="left" w:pos="1161"/>
        </w:tabs>
        <w:spacing w:after="0" w:line="240" w:lineRule="auto"/>
        <w:jc w:val="both"/>
        <w:rPr>
          <w:rFonts w:cs="Arial"/>
        </w:rPr>
      </w:pPr>
      <w:r w:rsidRPr="00CC1EB5">
        <w:rPr>
          <w:rFonts w:cs="Arial"/>
        </w:rPr>
        <w:t>Tratamiento combinado a dosis fijas indicado para el control de pacientes con asma persistente severa que no responden a dosis individuales máximas de B2 de vida media corta (salbutamol) + 1 esteroide tópico (</w:t>
      </w:r>
      <w:proofErr w:type="spellStart"/>
      <w:r w:rsidRPr="00CC1EB5">
        <w:rPr>
          <w:rFonts w:cs="Arial"/>
        </w:rPr>
        <w:t>beclometasona</w:t>
      </w:r>
      <w:proofErr w:type="spellEnd"/>
      <w:r w:rsidRPr="00CC1EB5">
        <w:rPr>
          <w:rFonts w:cs="Arial"/>
        </w:rPr>
        <w:t xml:space="preserve"> / </w:t>
      </w:r>
      <w:proofErr w:type="spellStart"/>
      <w:r w:rsidRPr="00CC1EB5">
        <w:rPr>
          <w:rFonts w:cs="Arial"/>
        </w:rPr>
        <w:t>budesonide</w:t>
      </w:r>
      <w:proofErr w:type="spellEnd"/>
      <w:r w:rsidRPr="00CC1EB5">
        <w:rPr>
          <w:rFonts w:cs="Arial"/>
        </w:rPr>
        <w:t>).</w:t>
      </w:r>
    </w:p>
    <w:p w:rsidR="00CC1EB5" w:rsidRPr="00CC1EB5" w:rsidRDefault="00CC1EB5" w:rsidP="00CC1EB5">
      <w:pPr>
        <w:ind w:left="360"/>
        <w:jc w:val="both"/>
        <w:rPr>
          <w:rFonts w:cs="Arial"/>
        </w:rPr>
      </w:pPr>
      <w:r w:rsidRPr="00CC1EB5">
        <w:rPr>
          <w:rFonts w:cs="Arial"/>
          <w:u w:val="single"/>
        </w:rPr>
        <w:t>Dosis</w:t>
      </w:r>
      <w:r w:rsidRPr="00CC1EB5">
        <w:rPr>
          <w:rFonts w:cs="Arial"/>
        </w:rPr>
        <w:t>: 1 inhalación 2 veces al día: 100/50mcg; 250/50mcg; 500/50mcg.</w:t>
      </w:r>
    </w:p>
    <w:p w:rsidR="00CC1EB5" w:rsidRPr="00CC1EB5" w:rsidRDefault="00CC1EB5" w:rsidP="00CC1EB5">
      <w:pPr>
        <w:tabs>
          <w:tab w:val="left" w:pos="1161"/>
        </w:tabs>
        <w:ind w:left="50"/>
        <w:rPr>
          <w:rFonts w:cs="Arial"/>
        </w:rPr>
      </w:pPr>
    </w:p>
    <w:p w:rsidR="00CC1EB5" w:rsidRPr="00CC1EB5" w:rsidRDefault="00CC1EB5" w:rsidP="00CC1EB5">
      <w:pPr>
        <w:tabs>
          <w:tab w:val="left" w:pos="1161"/>
        </w:tabs>
        <w:ind w:left="50"/>
        <w:rPr>
          <w:rFonts w:cs="Arial"/>
          <w:b/>
          <w:i/>
          <w:color w:val="00B050"/>
        </w:rPr>
      </w:pPr>
      <w:r w:rsidRPr="00CC1EB5">
        <w:rPr>
          <w:rFonts w:cs="Arial"/>
          <w:b/>
          <w:i/>
          <w:color w:val="00B050"/>
        </w:rPr>
        <w:t xml:space="preserve">R03AK07 FORMOTEROL FUMARATO Y BUDESONIDA              </w:t>
      </w:r>
    </w:p>
    <w:p w:rsidR="00CC1EB5" w:rsidRPr="00CC1EB5" w:rsidRDefault="00CC1EB5" w:rsidP="00396EBC">
      <w:pPr>
        <w:numPr>
          <w:ilvl w:val="0"/>
          <w:numId w:val="81"/>
        </w:numPr>
        <w:spacing w:after="0" w:line="240" w:lineRule="auto"/>
        <w:jc w:val="both"/>
        <w:rPr>
          <w:rFonts w:cs="Arial"/>
        </w:rPr>
      </w:pPr>
      <w:r w:rsidRPr="00CC1EB5">
        <w:rPr>
          <w:rFonts w:cs="Arial"/>
        </w:rPr>
        <w:t>Tratamiento combinado a dosis fijas indicado para pacientes que no responden a dosis individuales máximas de B2 de vida media corta (salbutamol) + 1 esteroide tópico (</w:t>
      </w:r>
      <w:proofErr w:type="spellStart"/>
      <w:r w:rsidRPr="00CC1EB5">
        <w:rPr>
          <w:rFonts w:cs="Arial"/>
        </w:rPr>
        <w:t>beclometasona</w:t>
      </w:r>
      <w:proofErr w:type="spellEnd"/>
      <w:r w:rsidRPr="00CC1EB5">
        <w:rPr>
          <w:rFonts w:cs="Arial"/>
        </w:rPr>
        <w:t xml:space="preserve"> / </w:t>
      </w:r>
      <w:proofErr w:type="spellStart"/>
      <w:r w:rsidRPr="00CC1EB5">
        <w:rPr>
          <w:rFonts w:cs="Arial"/>
        </w:rPr>
        <w:t>budesonide</w:t>
      </w:r>
      <w:proofErr w:type="spellEnd"/>
      <w:r w:rsidRPr="00CC1EB5">
        <w:rPr>
          <w:rFonts w:cs="Arial"/>
        </w:rPr>
        <w:t>).</w:t>
      </w:r>
    </w:p>
    <w:p w:rsidR="00CC1EB5" w:rsidRPr="00CC1EB5" w:rsidRDefault="00CC1EB5" w:rsidP="00CC1EB5">
      <w:pPr>
        <w:tabs>
          <w:tab w:val="num" w:pos="720"/>
        </w:tabs>
        <w:ind w:left="720" w:hanging="360"/>
        <w:jc w:val="both"/>
        <w:rPr>
          <w:rFonts w:cs="Arial"/>
        </w:rPr>
      </w:pPr>
      <w:r w:rsidRPr="00CC1EB5">
        <w:rPr>
          <w:rFonts w:cs="Arial"/>
          <w:u w:val="single"/>
        </w:rPr>
        <w:t>Dosis:</w:t>
      </w:r>
      <w:r w:rsidRPr="00CC1EB5">
        <w:rPr>
          <w:rFonts w:cs="Arial"/>
        </w:rPr>
        <w:t xml:space="preserve"> 80-160 </w:t>
      </w:r>
      <w:proofErr w:type="spellStart"/>
      <w:r w:rsidRPr="00CC1EB5">
        <w:rPr>
          <w:rFonts w:cs="Arial"/>
        </w:rPr>
        <w:t>mcg</w:t>
      </w:r>
      <w:proofErr w:type="spellEnd"/>
      <w:r w:rsidRPr="00CC1EB5">
        <w:rPr>
          <w:rFonts w:cs="Arial"/>
        </w:rPr>
        <w:t xml:space="preserve"> de </w:t>
      </w:r>
      <w:proofErr w:type="spellStart"/>
      <w:r w:rsidRPr="00CC1EB5">
        <w:rPr>
          <w:rFonts w:cs="Arial"/>
        </w:rPr>
        <w:t>budesonida</w:t>
      </w:r>
      <w:proofErr w:type="spellEnd"/>
      <w:r w:rsidRPr="00CC1EB5">
        <w:rPr>
          <w:rFonts w:cs="Arial"/>
        </w:rPr>
        <w:t xml:space="preserve"> / 4,5mcg de </w:t>
      </w:r>
      <w:proofErr w:type="spellStart"/>
      <w:r w:rsidRPr="00CC1EB5">
        <w:rPr>
          <w:rFonts w:cs="Arial"/>
        </w:rPr>
        <w:t>formoterol</w:t>
      </w:r>
      <w:proofErr w:type="spellEnd"/>
      <w:r w:rsidRPr="00CC1EB5">
        <w:rPr>
          <w:rFonts w:cs="Arial"/>
        </w:rPr>
        <w:t xml:space="preserve"> hasta control de pacientes con asma persistente severa que no se controlan 2 veces a día</w:t>
      </w:r>
    </w:p>
    <w:p w:rsidR="00CC1EB5" w:rsidRPr="00CC1EB5" w:rsidRDefault="00CC1EB5" w:rsidP="00CC1EB5">
      <w:pPr>
        <w:tabs>
          <w:tab w:val="left" w:pos="1161"/>
        </w:tabs>
        <w:ind w:left="50"/>
        <w:rPr>
          <w:rFonts w:cs="Arial"/>
          <w:color w:val="008080"/>
        </w:rPr>
      </w:pPr>
    </w:p>
    <w:p w:rsidR="00CC1EB5" w:rsidRPr="00CC1EB5" w:rsidRDefault="00CC1EB5" w:rsidP="00CC1EB5">
      <w:pPr>
        <w:tabs>
          <w:tab w:val="left" w:pos="1161"/>
        </w:tabs>
        <w:ind w:left="50"/>
        <w:rPr>
          <w:rFonts w:cs="Arial"/>
          <w:b/>
          <w:i/>
          <w:color w:val="00B050"/>
        </w:rPr>
      </w:pPr>
      <w:r w:rsidRPr="00CC1EB5">
        <w:rPr>
          <w:rFonts w:cs="Arial"/>
          <w:b/>
          <w:i/>
          <w:color w:val="00B050"/>
        </w:rPr>
        <w:t>R03B</w:t>
      </w:r>
      <w:r w:rsidRPr="00CC1EB5">
        <w:rPr>
          <w:rFonts w:cs="Arial"/>
          <w:b/>
          <w:i/>
          <w:color w:val="00B050"/>
        </w:rPr>
        <w:tab/>
        <w:t>OTROS ANTIASMATICOS, INHALANTES</w:t>
      </w:r>
    </w:p>
    <w:p w:rsidR="00CC1EB5" w:rsidRPr="00CC1EB5" w:rsidRDefault="00CC1EB5" w:rsidP="00CC1EB5">
      <w:pPr>
        <w:tabs>
          <w:tab w:val="left" w:pos="1161"/>
        </w:tabs>
        <w:ind w:left="50"/>
        <w:rPr>
          <w:rFonts w:cs="Arial"/>
          <w:b/>
          <w:i/>
          <w:color w:val="00B050"/>
        </w:rPr>
      </w:pPr>
      <w:r w:rsidRPr="00CC1EB5">
        <w:rPr>
          <w:rFonts w:cs="Arial"/>
          <w:b/>
          <w:i/>
          <w:color w:val="00B050"/>
        </w:rPr>
        <w:t>R03BA</w:t>
      </w:r>
      <w:r w:rsidRPr="00CC1EB5">
        <w:rPr>
          <w:rFonts w:cs="Arial"/>
          <w:b/>
          <w:i/>
          <w:color w:val="00B050"/>
        </w:rPr>
        <w:tab/>
        <w:t>GLUCOCORTICOIDES</w:t>
      </w:r>
    </w:p>
    <w:p w:rsidR="00CC1EB5" w:rsidRPr="00CC1EB5" w:rsidRDefault="00CC1EB5" w:rsidP="00CC1EB5">
      <w:pPr>
        <w:tabs>
          <w:tab w:val="left" w:pos="1161"/>
        </w:tabs>
        <w:ind w:left="50"/>
        <w:rPr>
          <w:rFonts w:cs="Arial"/>
          <w:b/>
          <w:i/>
          <w:color w:val="00B050"/>
        </w:rPr>
      </w:pPr>
      <w:r w:rsidRPr="00CC1EB5">
        <w:rPr>
          <w:rFonts w:cs="Arial"/>
          <w:b/>
          <w:i/>
          <w:color w:val="00B050"/>
        </w:rPr>
        <w:t>R03BA05</w:t>
      </w:r>
      <w:r w:rsidRPr="00CC1EB5">
        <w:rPr>
          <w:rFonts w:cs="Arial"/>
          <w:b/>
          <w:i/>
          <w:color w:val="00B050"/>
        </w:rPr>
        <w:tab/>
        <w:t>FLUTICASONA PROPIONATO</w:t>
      </w:r>
    </w:p>
    <w:p w:rsidR="00CC1EB5" w:rsidRPr="00CC1EB5" w:rsidRDefault="00CC1EB5" w:rsidP="00396EBC">
      <w:pPr>
        <w:numPr>
          <w:ilvl w:val="0"/>
          <w:numId w:val="81"/>
        </w:numPr>
        <w:spacing w:after="0" w:line="240" w:lineRule="auto"/>
        <w:jc w:val="both"/>
        <w:rPr>
          <w:rFonts w:cs="Arial"/>
        </w:rPr>
      </w:pPr>
      <w:r w:rsidRPr="00CC1EB5">
        <w:rPr>
          <w:rFonts w:cs="Arial"/>
        </w:rPr>
        <w:lastRenderedPageBreak/>
        <w:t>Esteroide de uso inhalatorio de alternativa (fallo o intolerancia) para el tratamiento del asma bronquial y la rinitis alérgica.</w:t>
      </w:r>
    </w:p>
    <w:p w:rsidR="00CC1EB5" w:rsidRPr="00CC1EB5" w:rsidRDefault="00CC1EB5" w:rsidP="00CC1EB5">
      <w:pPr>
        <w:tabs>
          <w:tab w:val="left" w:pos="1161"/>
        </w:tabs>
        <w:ind w:left="360"/>
        <w:jc w:val="both"/>
        <w:rPr>
          <w:rFonts w:cs="Arial"/>
        </w:rPr>
      </w:pPr>
      <w:r w:rsidRPr="00CC1EB5">
        <w:rPr>
          <w:rFonts w:cs="Arial"/>
          <w:u w:val="single"/>
        </w:rPr>
        <w:t>Dosis:</w:t>
      </w:r>
      <w:r w:rsidRPr="00CC1EB5">
        <w:rPr>
          <w:rFonts w:cs="Arial"/>
        </w:rPr>
        <w:t xml:space="preserve"> variable según uso clínico y antecedentes previos; para asma </w:t>
      </w:r>
      <w:proofErr w:type="spellStart"/>
      <w:r w:rsidRPr="00CC1EB5">
        <w:rPr>
          <w:rFonts w:cs="Arial"/>
        </w:rPr>
        <w:t>pretratado</w:t>
      </w:r>
      <w:proofErr w:type="spellEnd"/>
      <w:r w:rsidRPr="00CC1EB5">
        <w:rPr>
          <w:rFonts w:cs="Arial"/>
        </w:rPr>
        <w:t xml:space="preserve"> con broncodilatadores, en formulaciones con aerosol 88mcg, 2 veces al día (dosis máxima: 440mcg); en </w:t>
      </w:r>
      <w:proofErr w:type="spellStart"/>
      <w:r w:rsidRPr="00CC1EB5">
        <w:rPr>
          <w:rFonts w:cs="Arial"/>
        </w:rPr>
        <w:t>pretratados</w:t>
      </w:r>
      <w:proofErr w:type="spellEnd"/>
      <w:r w:rsidRPr="00CC1EB5">
        <w:rPr>
          <w:rFonts w:cs="Arial"/>
        </w:rPr>
        <w:t xml:space="preserve"> con otro esteroide inhalado </w:t>
      </w:r>
      <w:smartTag w:uri="urn:schemas-microsoft-com:office:smarttags" w:element="metricconverter">
        <w:smartTagPr>
          <w:attr w:name="ProductID" w:val="88 a"/>
        </w:smartTagPr>
        <w:r w:rsidRPr="00CC1EB5">
          <w:rPr>
            <w:rFonts w:cs="Arial"/>
          </w:rPr>
          <w:t>88 a</w:t>
        </w:r>
      </w:smartTag>
      <w:r w:rsidRPr="00CC1EB5">
        <w:rPr>
          <w:rFonts w:cs="Arial"/>
        </w:rPr>
        <w:t xml:space="preserve"> 200 </w:t>
      </w:r>
      <w:proofErr w:type="spellStart"/>
      <w:r w:rsidRPr="00CC1EB5">
        <w:rPr>
          <w:rFonts w:cs="Arial"/>
        </w:rPr>
        <w:t>mcg</w:t>
      </w:r>
      <w:proofErr w:type="spellEnd"/>
      <w:r w:rsidRPr="00CC1EB5">
        <w:rPr>
          <w:rFonts w:cs="Arial"/>
        </w:rPr>
        <w:t xml:space="preserve">, 2 veces al día (dosis máxima: 440mcg) y en pacientes bajo terapia con esteroides por vía oral hasta 880 </w:t>
      </w:r>
      <w:proofErr w:type="spellStart"/>
      <w:r w:rsidRPr="00CC1EB5">
        <w:rPr>
          <w:rFonts w:cs="Arial"/>
        </w:rPr>
        <w:t>mcg</w:t>
      </w:r>
      <w:proofErr w:type="spellEnd"/>
      <w:r w:rsidRPr="00CC1EB5">
        <w:rPr>
          <w:rFonts w:cs="Arial"/>
        </w:rPr>
        <w:t xml:space="preserve">/día; en presentaciones de polvo seco para inhalar hasta 500 </w:t>
      </w:r>
      <w:proofErr w:type="spellStart"/>
      <w:r w:rsidRPr="00CC1EB5">
        <w:rPr>
          <w:rFonts w:cs="Arial"/>
        </w:rPr>
        <w:t>mcg</w:t>
      </w:r>
      <w:proofErr w:type="spellEnd"/>
      <w:r w:rsidRPr="00CC1EB5">
        <w:rPr>
          <w:rFonts w:cs="Arial"/>
        </w:rPr>
        <w:t>/día.</w:t>
      </w:r>
    </w:p>
    <w:p w:rsidR="00CC1EB5" w:rsidRPr="00CC1EB5" w:rsidRDefault="00CC1EB5" w:rsidP="00CC1EB5">
      <w:pPr>
        <w:tabs>
          <w:tab w:val="left" w:pos="1161"/>
        </w:tabs>
        <w:ind w:left="50"/>
        <w:rPr>
          <w:rFonts w:cs="Arial"/>
          <w:color w:val="008080"/>
        </w:rPr>
      </w:pPr>
    </w:p>
    <w:p w:rsidR="00CC1EB5" w:rsidRPr="00CC1EB5" w:rsidRDefault="00CC1EB5" w:rsidP="00CC1EB5">
      <w:pPr>
        <w:tabs>
          <w:tab w:val="left" w:pos="1161"/>
        </w:tabs>
        <w:ind w:left="50"/>
        <w:rPr>
          <w:rFonts w:cs="Arial"/>
          <w:b/>
          <w:i/>
          <w:color w:val="00B050"/>
        </w:rPr>
      </w:pPr>
      <w:r w:rsidRPr="00CC1EB5">
        <w:rPr>
          <w:rFonts w:cs="Arial"/>
          <w:b/>
          <w:i/>
          <w:color w:val="00B050"/>
        </w:rPr>
        <w:t>R03D</w:t>
      </w:r>
      <w:r w:rsidRPr="00CC1EB5">
        <w:rPr>
          <w:rFonts w:cs="Arial"/>
          <w:b/>
          <w:i/>
          <w:color w:val="00B050"/>
        </w:rPr>
        <w:tab/>
        <w:t>OTROS ANTIASMATICOS DE USO SISTEMICO</w:t>
      </w:r>
    </w:p>
    <w:p w:rsidR="00CC1EB5" w:rsidRPr="00CC1EB5" w:rsidRDefault="00CC1EB5" w:rsidP="00CC1EB5">
      <w:pPr>
        <w:tabs>
          <w:tab w:val="left" w:pos="1161"/>
        </w:tabs>
        <w:ind w:left="50"/>
        <w:rPr>
          <w:rFonts w:cs="Arial"/>
          <w:b/>
          <w:i/>
          <w:color w:val="00B050"/>
        </w:rPr>
      </w:pPr>
      <w:r w:rsidRPr="00CC1EB5">
        <w:rPr>
          <w:rFonts w:cs="Arial"/>
          <w:b/>
          <w:i/>
          <w:color w:val="00B050"/>
        </w:rPr>
        <w:t>R03DC</w:t>
      </w:r>
      <w:r w:rsidRPr="00CC1EB5">
        <w:rPr>
          <w:rFonts w:cs="Arial"/>
          <w:b/>
          <w:i/>
          <w:color w:val="00B050"/>
        </w:rPr>
        <w:tab/>
        <w:t>ANTAGONISTAS DEL RECEPTOR DE LEUCOTRIENOS</w:t>
      </w:r>
    </w:p>
    <w:p w:rsidR="00CC1EB5" w:rsidRPr="00CC1EB5" w:rsidRDefault="00CC1EB5" w:rsidP="00CC1EB5">
      <w:pPr>
        <w:tabs>
          <w:tab w:val="left" w:pos="1161"/>
        </w:tabs>
        <w:ind w:left="50"/>
        <w:rPr>
          <w:rFonts w:cs="Arial"/>
          <w:b/>
          <w:i/>
          <w:color w:val="00B050"/>
        </w:rPr>
      </w:pPr>
      <w:r w:rsidRPr="00CC1EB5">
        <w:rPr>
          <w:rFonts w:cs="Arial"/>
          <w:b/>
          <w:i/>
          <w:color w:val="00B050"/>
        </w:rPr>
        <w:t>R03DC03</w:t>
      </w:r>
      <w:r w:rsidRPr="00CC1EB5">
        <w:rPr>
          <w:rFonts w:cs="Arial"/>
          <w:b/>
          <w:i/>
          <w:color w:val="00B050"/>
        </w:rPr>
        <w:tab/>
        <w:t xml:space="preserve">MONTELUKAST </w:t>
      </w:r>
    </w:p>
    <w:p w:rsidR="00CC1EB5" w:rsidRPr="00CC1EB5" w:rsidRDefault="00CC1EB5" w:rsidP="00396EBC">
      <w:pPr>
        <w:numPr>
          <w:ilvl w:val="0"/>
          <w:numId w:val="81"/>
        </w:numPr>
        <w:spacing w:after="0" w:line="240" w:lineRule="auto"/>
        <w:jc w:val="both"/>
        <w:rPr>
          <w:rFonts w:cs="Arial"/>
        </w:rPr>
      </w:pPr>
      <w:r w:rsidRPr="00CC1EB5">
        <w:rPr>
          <w:rFonts w:cs="Arial"/>
        </w:rPr>
        <w:t xml:space="preserve">Antagonista de los receptores de </w:t>
      </w:r>
      <w:proofErr w:type="spellStart"/>
      <w:r w:rsidRPr="00CC1EB5">
        <w:rPr>
          <w:rFonts w:cs="Arial"/>
        </w:rPr>
        <w:t>leucotrienos</w:t>
      </w:r>
      <w:proofErr w:type="spellEnd"/>
      <w:r w:rsidRPr="00CC1EB5">
        <w:rPr>
          <w:rFonts w:cs="Arial"/>
        </w:rPr>
        <w:t xml:space="preserve"> para la prevención y el tratamiento del asma bronquial y el asma inducido por ejercicio como adyuvante en casos seleccionados en niños y adultos.</w:t>
      </w:r>
    </w:p>
    <w:p w:rsidR="00CC1EB5" w:rsidRPr="00CC1EB5" w:rsidRDefault="00CC1EB5" w:rsidP="00396EBC">
      <w:pPr>
        <w:numPr>
          <w:ilvl w:val="0"/>
          <w:numId w:val="81"/>
        </w:numPr>
        <w:spacing w:after="0" w:line="240" w:lineRule="auto"/>
        <w:jc w:val="both"/>
        <w:rPr>
          <w:rFonts w:cs="Arial"/>
          <w:b/>
        </w:rPr>
      </w:pPr>
      <w:r w:rsidRPr="00CC1EB5">
        <w:rPr>
          <w:rFonts w:cs="Arial"/>
        </w:rPr>
        <w:t>Se acepta su utilidad en casos seleccionados no respondedores a tratamiento electivo con beta 2 estimulantes de vida media corta (o larga según evolución) + una pauta de un esteroide inhalatorio en dosis máximas o cuando estos han producido efectos adversos locales (</w:t>
      </w:r>
      <w:proofErr w:type="spellStart"/>
      <w:r w:rsidRPr="00CC1EB5">
        <w:rPr>
          <w:rFonts w:cs="Arial"/>
        </w:rPr>
        <w:t>muguet</w:t>
      </w:r>
      <w:proofErr w:type="spellEnd"/>
      <w:r w:rsidRPr="00CC1EB5">
        <w:rPr>
          <w:rFonts w:cs="Arial"/>
        </w:rPr>
        <w:t xml:space="preserve"> o candidiasis </w:t>
      </w:r>
      <w:proofErr w:type="spellStart"/>
      <w:r w:rsidRPr="00CC1EB5">
        <w:rPr>
          <w:rFonts w:cs="Arial"/>
        </w:rPr>
        <w:t>orofaríngea</w:t>
      </w:r>
      <w:proofErr w:type="spellEnd"/>
      <w:r w:rsidRPr="00CC1EB5">
        <w:rPr>
          <w:rFonts w:cs="Arial"/>
        </w:rPr>
        <w:t>) y se desea bajar la dosis del corticoide.</w:t>
      </w:r>
    </w:p>
    <w:p w:rsidR="00CC1EB5" w:rsidRPr="00CC1EB5" w:rsidRDefault="00CC1EB5" w:rsidP="00CC1EB5">
      <w:pPr>
        <w:tabs>
          <w:tab w:val="num" w:pos="720"/>
        </w:tabs>
        <w:ind w:left="720" w:hanging="360"/>
        <w:jc w:val="both"/>
        <w:rPr>
          <w:rFonts w:cs="Arial"/>
          <w:b/>
        </w:rPr>
      </w:pPr>
      <w:r w:rsidRPr="00CC1EB5">
        <w:rPr>
          <w:rFonts w:cs="Arial"/>
          <w:u w:val="single"/>
        </w:rPr>
        <w:t>Dosis:</w:t>
      </w:r>
      <w:r w:rsidRPr="00CC1EB5">
        <w:rPr>
          <w:rFonts w:cs="Arial"/>
        </w:rPr>
        <w:t xml:space="preserve"> 10 mg una vez al día por vía oral. </w:t>
      </w:r>
    </w:p>
    <w:p w:rsidR="00CC1EB5" w:rsidRPr="00CC1EB5" w:rsidRDefault="00CC1EB5" w:rsidP="00CC1EB5">
      <w:pPr>
        <w:tabs>
          <w:tab w:val="left" w:pos="1161"/>
        </w:tabs>
        <w:ind w:left="50"/>
        <w:rPr>
          <w:rFonts w:cs="Arial"/>
          <w:b/>
          <w:i/>
          <w:color w:val="00B050"/>
        </w:rPr>
      </w:pPr>
    </w:p>
    <w:p w:rsidR="00CC1EB5" w:rsidRPr="00CC1EB5" w:rsidRDefault="00CC1EB5" w:rsidP="00CC1EB5">
      <w:pPr>
        <w:tabs>
          <w:tab w:val="left" w:pos="1161"/>
        </w:tabs>
        <w:ind w:left="50"/>
        <w:rPr>
          <w:rFonts w:cs="Arial"/>
          <w:b/>
          <w:i/>
          <w:color w:val="00B050"/>
        </w:rPr>
      </w:pPr>
      <w:r w:rsidRPr="00CC1EB5">
        <w:rPr>
          <w:rFonts w:cs="Arial"/>
          <w:b/>
          <w:i/>
          <w:color w:val="00B050"/>
        </w:rPr>
        <w:t>R05CB</w:t>
      </w:r>
      <w:r w:rsidRPr="00CC1EB5">
        <w:rPr>
          <w:rFonts w:cs="Arial"/>
          <w:b/>
          <w:i/>
          <w:color w:val="00B050"/>
        </w:rPr>
        <w:tab/>
        <w:t>MUCOLITICOS</w:t>
      </w:r>
    </w:p>
    <w:p w:rsidR="00CC1EB5" w:rsidRPr="00CC1EB5" w:rsidRDefault="00CC1EB5" w:rsidP="00CC1EB5">
      <w:pPr>
        <w:tabs>
          <w:tab w:val="left" w:pos="1161"/>
        </w:tabs>
        <w:ind w:left="50"/>
        <w:rPr>
          <w:rFonts w:cs="Arial"/>
          <w:b/>
          <w:i/>
          <w:color w:val="00B050"/>
        </w:rPr>
      </w:pPr>
      <w:r w:rsidRPr="00CC1EB5">
        <w:rPr>
          <w:rFonts w:cs="Arial"/>
          <w:b/>
          <w:i/>
          <w:color w:val="00B050"/>
        </w:rPr>
        <w:t>R05CB02</w:t>
      </w:r>
      <w:r w:rsidRPr="00CC1EB5">
        <w:rPr>
          <w:rFonts w:cs="Arial"/>
          <w:b/>
          <w:i/>
          <w:color w:val="00B050"/>
        </w:rPr>
        <w:tab/>
        <w:t>BROMHEXINA CLORHIDRATO</w:t>
      </w:r>
    </w:p>
    <w:p w:rsidR="00CC1EB5" w:rsidRPr="00CC1EB5" w:rsidRDefault="00CC1EB5" w:rsidP="00396EBC">
      <w:pPr>
        <w:numPr>
          <w:ilvl w:val="0"/>
          <w:numId w:val="82"/>
        </w:numPr>
        <w:spacing w:after="0" w:line="240" w:lineRule="auto"/>
        <w:jc w:val="both"/>
        <w:rPr>
          <w:rFonts w:cs="Arial"/>
          <w:b/>
          <w:vertAlign w:val="superscript"/>
        </w:rPr>
      </w:pPr>
      <w:r w:rsidRPr="00CC1EB5">
        <w:rPr>
          <w:rFonts w:eastAsia="Arial Unicode MS" w:cs="Arial"/>
        </w:rPr>
        <w:t xml:space="preserve">Tratamiento </w:t>
      </w:r>
      <w:proofErr w:type="spellStart"/>
      <w:r w:rsidRPr="00CC1EB5">
        <w:rPr>
          <w:rFonts w:eastAsia="Arial Unicode MS" w:cs="Arial"/>
        </w:rPr>
        <w:t>mucolítico</w:t>
      </w:r>
      <w:proofErr w:type="spellEnd"/>
      <w:r w:rsidRPr="00CC1EB5">
        <w:rPr>
          <w:rFonts w:eastAsia="Arial Unicode MS" w:cs="Arial"/>
        </w:rPr>
        <w:t xml:space="preserve"> en pacientes con trastornos respiratorios asociados con tos productiva: bronquitis crónica y bronquiectasias y reagudizaciones de </w:t>
      </w:r>
      <w:r w:rsidRPr="00CC1EB5">
        <w:rPr>
          <w:rFonts w:cs="Arial"/>
        </w:rPr>
        <w:t>EPOC.</w:t>
      </w:r>
    </w:p>
    <w:p w:rsidR="00CC1EB5" w:rsidRPr="00CC1EB5" w:rsidRDefault="00CC1EB5" w:rsidP="00CC1EB5">
      <w:pPr>
        <w:pStyle w:val="Sangra2detindependiente"/>
        <w:ind w:left="360"/>
        <w:rPr>
          <w:rFonts w:asciiTheme="minorHAnsi" w:hAnsiTheme="minorHAnsi"/>
          <w:sz w:val="22"/>
          <w:szCs w:val="22"/>
        </w:rPr>
      </w:pPr>
      <w:r w:rsidRPr="00CC1EB5">
        <w:rPr>
          <w:rFonts w:asciiTheme="minorHAnsi" w:hAnsiTheme="minorHAnsi"/>
          <w:sz w:val="22"/>
          <w:szCs w:val="22"/>
          <w:u w:val="single"/>
        </w:rPr>
        <w:t>Dosis:</w:t>
      </w:r>
      <w:r w:rsidRPr="00CC1EB5">
        <w:rPr>
          <w:rFonts w:asciiTheme="minorHAnsi" w:hAnsiTheme="minorHAnsi"/>
          <w:sz w:val="22"/>
          <w:szCs w:val="22"/>
        </w:rPr>
        <w:t xml:space="preserve"> 8 mg 2 o 3 veces al día por vía oral.</w:t>
      </w:r>
    </w:p>
    <w:p w:rsidR="00CC1EB5" w:rsidRPr="00CC1EB5" w:rsidRDefault="00CC1EB5" w:rsidP="00CC1EB5">
      <w:pPr>
        <w:tabs>
          <w:tab w:val="left" w:pos="1161"/>
        </w:tabs>
        <w:ind w:left="50"/>
        <w:rPr>
          <w:rFonts w:cs="Arial"/>
          <w:b/>
          <w:i/>
          <w:color w:val="00B050"/>
        </w:rPr>
      </w:pPr>
      <w:r w:rsidRPr="00CC1EB5">
        <w:rPr>
          <w:rFonts w:cs="Arial"/>
          <w:b/>
          <w:i/>
          <w:color w:val="00B050"/>
        </w:rPr>
        <w:t>R05CB03</w:t>
      </w:r>
      <w:r w:rsidRPr="00CC1EB5">
        <w:rPr>
          <w:rFonts w:cs="Arial"/>
          <w:b/>
          <w:i/>
          <w:color w:val="00B050"/>
        </w:rPr>
        <w:tab/>
        <w:t xml:space="preserve">CARBOCISTEINA </w:t>
      </w:r>
    </w:p>
    <w:p w:rsidR="00CC1EB5" w:rsidRPr="00CC1EB5" w:rsidRDefault="00CC1EB5" w:rsidP="00396EBC">
      <w:pPr>
        <w:numPr>
          <w:ilvl w:val="0"/>
          <w:numId w:val="82"/>
        </w:numPr>
        <w:spacing w:after="0" w:line="240" w:lineRule="auto"/>
        <w:jc w:val="both"/>
        <w:rPr>
          <w:rFonts w:cs="Arial"/>
          <w:b/>
          <w:vertAlign w:val="superscript"/>
        </w:rPr>
      </w:pPr>
      <w:r w:rsidRPr="00CC1EB5">
        <w:rPr>
          <w:rFonts w:eastAsia="Arial Unicode MS" w:cs="Arial"/>
        </w:rPr>
        <w:t xml:space="preserve">Tratamiento </w:t>
      </w:r>
      <w:proofErr w:type="spellStart"/>
      <w:r w:rsidRPr="00CC1EB5">
        <w:rPr>
          <w:rFonts w:eastAsia="Arial Unicode MS" w:cs="Arial"/>
        </w:rPr>
        <w:t>mucolítico</w:t>
      </w:r>
      <w:proofErr w:type="spellEnd"/>
      <w:r w:rsidRPr="00CC1EB5">
        <w:rPr>
          <w:rFonts w:eastAsia="Arial Unicode MS" w:cs="Arial"/>
        </w:rPr>
        <w:t xml:space="preserve"> en pacientes con trastornos respiratorios asociados con tos productiva: bronquitis crónica y bronquiectasias y reagudizaciones de </w:t>
      </w:r>
      <w:r w:rsidRPr="00CC1EB5">
        <w:rPr>
          <w:rFonts w:cs="Arial"/>
        </w:rPr>
        <w:t>EPOC.</w:t>
      </w:r>
    </w:p>
    <w:p w:rsidR="00CC1EB5" w:rsidRPr="00CC1EB5" w:rsidRDefault="00CC1EB5" w:rsidP="00CC1EB5">
      <w:pPr>
        <w:ind w:left="360"/>
        <w:jc w:val="both"/>
        <w:rPr>
          <w:rFonts w:cs="Arial"/>
        </w:rPr>
      </w:pPr>
      <w:r w:rsidRPr="00CC1EB5">
        <w:rPr>
          <w:rFonts w:cs="Arial"/>
          <w:u w:val="single"/>
        </w:rPr>
        <w:t>Dosis</w:t>
      </w:r>
      <w:r w:rsidRPr="00CC1EB5">
        <w:rPr>
          <w:rFonts w:cs="Arial"/>
        </w:rPr>
        <w:t>: 750 mg cada 8 horas por vía oral.</w:t>
      </w:r>
    </w:p>
    <w:p w:rsidR="00CC1EB5" w:rsidRPr="00CC1EB5" w:rsidRDefault="00CC1EB5" w:rsidP="00CC1EB5">
      <w:pPr>
        <w:tabs>
          <w:tab w:val="left" w:pos="1161"/>
        </w:tabs>
        <w:ind w:left="50"/>
        <w:rPr>
          <w:rFonts w:cs="Arial"/>
          <w:b/>
          <w:i/>
          <w:color w:val="00B050"/>
        </w:rPr>
      </w:pPr>
    </w:p>
    <w:p w:rsidR="00CC1EB5" w:rsidRPr="00CC1EB5" w:rsidRDefault="00CC1EB5" w:rsidP="00CC1EB5">
      <w:pPr>
        <w:tabs>
          <w:tab w:val="left" w:pos="1161"/>
        </w:tabs>
        <w:ind w:left="50"/>
        <w:rPr>
          <w:rFonts w:cs="Arial"/>
          <w:b/>
          <w:i/>
          <w:color w:val="00B050"/>
        </w:rPr>
      </w:pPr>
      <w:r w:rsidRPr="00CC1EB5">
        <w:rPr>
          <w:rFonts w:cs="Arial"/>
          <w:b/>
          <w:i/>
          <w:color w:val="00B050"/>
        </w:rPr>
        <w:t>S01EA</w:t>
      </w:r>
      <w:r w:rsidRPr="00CC1EB5">
        <w:rPr>
          <w:rFonts w:cs="Arial"/>
          <w:b/>
          <w:i/>
          <w:color w:val="00B050"/>
        </w:rPr>
        <w:tab/>
        <w:t>SIMPATICOMIMETICAS EN TERAPIA DEL GLAUCOMA</w:t>
      </w:r>
    </w:p>
    <w:p w:rsidR="00CC1EB5" w:rsidRPr="00CC1EB5" w:rsidRDefault="00CC1EB5" w:rsidP="00CC1EB5">
      <w:pPr>
        <w:tabs>
          <w:tab w:val="left" w:pos="1161"/>
        </w:tabs>
        <w:ind w:left="50"/>
        <w:rPr>
          <w:rFonts w:cs="Arial"/>
          <w:b/>
          <w:i/>
          <w:color w:val="00B050"/>
        </w:rPr>
      </w:pPr>
      <w:r w:rsidRPr="00CC1EB5">
        <w:rPr>
          <w:rFonts w:cs="Arial"/>
          <w:b/>
          <w:i/>
          <w:color w:val="00B050"/>
        </w:rPr>
        <w:t>S01EA05</w:t>
      </w:r>
      <w:r w:rsidRPr="00CC1EB5">
        <w:rPr>
          <w:rFonts w:cs="Arial"/>
          <w:b/>
          <w:i/>
          <w:color w:val="00B050"/>
        </w:rPr>
        <w:tab/>
        <w:t xml:space="preserve">BRIMONIDINA TARTRATO </w:t>
      </w:r>
    </w:p>
    <w:p w:rsidR="00CC1EB5" w:rsidRPr="00CC1EB5" w:rsidRDefault="00CC1EB5" w:rsidP="00396EBC">
      <w:pPr>
        <w:numPr>
          <w:ilvl w:val="0"/>
          <w:numId w:val="82"/>
        </w:numPr>
        <w:spacing w:after="0" w:line="240" w:lineRule="auto"/>
        <w:jc w:val="both"/>
        <w:rPr>
          <w:rFonts w:cs="Arial"/>
          <w:b/>
        </w:rPr>
      </w:pPr>
      <w:r w:rsidRPr="00CC1EB5">
        <w:rPr>
          <w:rFonts w:cs="Arial"/>
        </w:rPr>
        <w:t>Glaucoma de ángulo abierto en casos seleccionados de pacientes refractarios a los hipotensores oculares incluidos y  en tratamiento combinado.</w:t>
      </w:r>
    </w:p>
    <w:p w:rsidR="00CC1EB5" w:rsidRPr="00CC1EB5" w:rsidRDefault="00CC1EB5" w:rsidP="00396EBC">
      <w:pPr>
        <w:numPr>
          <w:ilvl w:val="0"/>
          <w:numId w:val="82"/>
        </w:numPr>
        <w:spacing w:after="0" w:line="240" w:lineRule="auto"/>
        <w:jc w:val="both"/>
        <w:rPr>
          <w:rFonts w:cs="Arial"/>
          <w:b/>
        </w:rPr>
      </w:pPr>
      <w:r w:rsidRPr="00CC1EB5">
        <w:rPr>
          <w:rFonts w:cs="Arial"/>
        </w:rPr>
        <w:t xml:space="preserve">Control de la hipertensión ocular consecutiva a la </w:t>
      </w:r>
      <w:proofErr w:type="spellStart"/>
      <w:r w:rsidRPr="00CC1EB5">
        <w:rPr>
          <w:rFonts w:cs="Arial"/>
        </w:rPr>
        <w:t>trabeculoplastia</w:t>
      </w:r>
      <w:proofErr w:type="spellEnd"/>
      <w:r w:rsidRPr="00CC1EB5">
        <w:rPr>
          <w:rFonts w:cs="Arial"/>
        </w:rPr>
        <w:t xml:space="preserve"> realizada con láser cuando la </w:t>
      </w:r>
      <w:proofErr w:type="spellStart"/>
      <w:r w:rsidRPr="00CC1EB5">
        <w:rPr>
          <w:rFonts w:cs="Arial"/>
        </w:rPr>
        <w:t>apraclonidina</w:t>
      </w:r>
      <w:proofErr w:type="spellEnd"/>
      <w:r w:rsidRPr="00CC1EB5">
        <w:rPr>
          <w:rFonts w:cs="Arial"/>
        </w:rPr>
        <w:t xml:space="preserve"> (fármaco de elección) ha fracasado.</w:t>
      </w:r>
    </w:p>
    <w:p w:rsidR="00CC1EB5" w:rsidRPr="00CC1EB5" w:rsidRDefault="00CC1EB5" w:rsidP="00CC1EB5">
      <w:pPr>
        <w:ind w:left="360"/>
        <w:jc w:val="both"/>
        <w:rPr>
          <w:rFonts w:cs="Arial"/>
          <w:bCs/>
        </w:rPr>
      </w:pPr>
      <w:r w:rsidRPr="00CC1EB5">
        <w:rPr>
          <w:rFonts w:cs="Arial"/>
          <w:bCs/>
          <w:u w:val="single"/>
        </w:rPr>
        <w:t>Dosis:</w:t>
      </w:r>
      <w:r w:rsidRPr="00CC1EB5">
        <w:rPr>
          <w:rFonts w:cs="Arial"/>
          <w:bCs/>
        </w:rPr>
        <w:t xml:space="preserve"> colirio al 0.2 %; colocar una gota en cada ojo afectado 3 veces ala.  </w:t>
      </w:r>
    </w:p>
    <w:p w:rsidR="00CC1EB5" w:rsidRPr="00CC1EB5" w:rsidRDefault="00CC1EB5" w:rsidP="00CC1EB5">
      <w:pPr>
        <w:tabs>
          <w:tab w:val="left" w:pos="1161"/>
        </w:tabs>
        <w:ind w:left="50"/>
        <w:rPr>
          <w:rFonts w:cs="Arial"/>
          <w:b/>
          <w:i/>
          <w:color w:val="00B050"/>
        </w:rPr>
      </w:pPr>
    </w:p>
    <w:p w:rsidR="00CC1EB5" w:rsidRPr="00CC1EB5" w:rsidRDefault="00CC1EB5" w:rsidP="00CC1EB5">
      <w:pPr>
        <w:tabs>
          <w:tab w:val="left" w:pos="1161"/>
        </w:tabs>
        <w:ind w:left="50"/>
        <w:rPr>
          <w:rFonts w:cs="Arial"/>
          <w:b/>
          <w:i/>
          <w:color w:val="00B050"/>
          <w:lang w:val="en-GB"/>
        </w:rPr>
      </w:pPr>
      <w:r w:rsidRPr="00CC1EB5">
        <w:rPr>
          <w:rFonts w:cs="Arial"/>
          <w:b/>
          <w:i/>
          <w:color w:val="00B050"/>
          <w:lang w:val="en-GB"/>
        </w:rPr>
        <w:lastRenderedPageBreak/>
        <w:t>S01ED</w:t>
      </w:r>
      <w:r w:rsidRPr="00CC1EB5">
        <w:rPr>
          <w:rFonts w:cs="Arial"/>
          <w:b/>
          <w:i/>
          <w:color w:val="00B050"/>
          <w:lang w:val="en-GB"/>
        </w:rPr>
        <w:tab/>
        <w:t>AGENTES BETA BLOQUEANTES</w:t>
      </w:r>
    </w:p>
    <w:p w:rsidR="00CC1EB5" w:rsidRPr="00CC1EB5" w:rsidRDefault="00CC1EB5" w:rsidP="00CC1EB5">
      <w:pPr>
        <w:tabs>
          <w:tab w:val="left" w:pos="1161"/>
        </w:tabs>
        <w:ind w:left="50"/>
        <w:rPr>
          <w:rFonts w:cs="Arial"/>
          <w:b/>
          <w:i/>
          <w:color w:val="00B050"/>
          <w:lang w:val="en-GB"/>
        </w:rPr>
      </w:pPr>
      <w:r w:rsidRPr="00CC1EB5">
        <w:rPr>
          <w:rFonts w:cs="Arial"/>
          <w:b/>
          <w:i/>
          <w:color w:val="00B050"/>
          <w:lang w:val="en-GB"/>
        </w:rPr>
        <w:t xml:space="preserve">S01ED02 </w:t>
      </w:r>
      <w:r w:rsidRPr="00CC1EB5">
        <w:rPr>
          <w:rFonts w:cs="Arial"/>
          <w:b/>
          <w:i/>
          <w:color w:val="00B050"/>
          <w:lang w:val="en-GB"/>
        </w:rPr>
        <w:tab/>
        <w:t xml:space="preserve">BETAXOLOL CLORHIDRATO </w:t>
      </w:r>
    </w:p>
    <w:p w:rsidR="00CC1EB5" w:rsidRPr="00CC1EB5" w:rsidRDefault="00CC1EB5" w:rsidP="00396EBC">
      <w:pPr>
        <w:numPr>
          <w:ilvl w:val="0"/>
          <w:numId w:val="83"/>
        </w:numPr>
        <w:spacing w:after="0" w:line="240" w:lineRule="auto"/>
        <w:jc w:val="both"/>
        <w:rPr>
          <w:rFonts w:cs="Arial"/>
          <w:b/>
        </w:rPr>
      </w:pPr>
      <w:r w:rsidRPr="00CC1EB5">
        <w:rPr>
          <w:rFonts w:cs="Arial"/>
        </w:rPr>
        <w:t xml:space="preserve">Glaucoma de ángulo abierto en pacientes con efectos adversos sistémicos a </w:t>
      </w:r>
      <w:proofErr w:type="spellStart"/>
      <w:r w:rsidRPr="00CC1EB5">
        <w:rPr>
          <w:rFonts w:cs="Arial"/>
        </w:rPr>
        <w:t>timolol</w:t>
      </w:r>
      <w:proofErr w:type="spellEnd"/>
      <w:r w:rsidRPr="00CC1EB5">
        <w:rPr>
          <w:rFonts w:cs="Arial"/>
        </w:rPr>
        <w:t xml:space="preserve"> o fallo.</w:t>
      </w:r>
    </w:p>
    <w:p w:rsidR="00CC1EB5" w:rsidRPr="00CC1EB5" w:rsidRDefault="00CC1EB5" w:rsidP="00396EBC">
      <w:pPr>
        <w:numPr>
          <w:ilvl w:val="0"/>
          <w:numId w:val="83"/>
        </w:numPr>
        <w:spacing w:after="0" w:line="240" w:lineRule="auto"/>
        <w:jc w:val="both"/>
        <w:rPr>
          <w:rFonts w:cs="Arial"/>
          <w:b/>
        </w:rPr>
      </w:pPr>
      <w:r w:rsidRPr="00CC1EB5">
        <w:rPr>
          <w:rFonts w:cs="Arial"/>
        </w:rPr>
        <w:t>Glaucoma de ángulo abierto en pacientes con asma bronquial y/o bloqueo cardíaco.</w:t>
      </w:r>
    </w:p>
    <w:p w:rsidR="00CC1EB5" w:rsidRPr="00CC1EB5" w:rsidRDefault="00CC1EB5" w:rsidP="00CC1EB5">
      <w:pPr>
        <w:ind w:left="360"/>
        <w:jc w:val="both"/>
        <w:rPr>
          <w:rFonts w:cs="Arial"/>
          <w:bCs/>
        </w:rPr>
      </w:pPr>
      <w:r w:rsidRPr="00CC1EB5">
        <w:rPr>
          <w:rFonts w:cs="Arial"/>
          <w:bCs/>
          <w:u w:val="single"/>
        </w:rPr>
        <w:t>Dosis:</w:t>
      </w:r>
      <w:r w:rsidRPr="00CC1EB5">
        <w:rPr>
          <w:rFonts w:cs="Arial"/>
          <w:bCs/>
        </w:rPr>
        <w:t xml:space="preserve"> colirio al 0.25 %; colocar 1-2 gotas en cada ojo afectado dos </w:t>
      </w:r>
    </w:p>
    <w:p w:rsidR="00CC1EB5" w:rsidRPr="00CC1EB5" w:rsidRDefault="00CC1EB5" w:rsidP="00CC1EB5">
      <w:pPr>
        <w:ind w:left="360"/>
        <w:jc w:val="both"/>
        <w:rPr>
          <w:rFonts w:cs="Arial"/>
          <w:bCs/>
        </w:rPr>
      </w:pPr>
      <w:r w:rsidRPr="00CC1EB5">
        <w:rPr>
          <w:rFonts w:cs="Arial"/>
          <w:bCs/>
        </w:rPr>
        <w:t xml:space="preserve">          </w:t>
      </w:r>
      <w:proofErr w:type="gramStart"/>
      <w:r w:rsidRPr="00CC1EB5">
        <w:rPr>
          <w:rFonts w:cs="Arial"/>
          <w:bCs/>
        </w:rPr>
        <w:t>veces</w:t>
      </w:r>
      <w:proofErr w:type="gramEnd"/>
      <w:r w:rsidRPr="00CC1EB5">
        <w:rPr>
          <w:rFonts w:cs="Arial"/>
          <w:bCs/>
        </w:rPr>
        <w:t xml:space="preserve"> al día.</w:t>
      </w:r>
    </w:p>
    <w:p w:rsidR="00CC1EB5" w:rsidRPr="00CC1EB5" w:rsidRDefault="00CC1EB5" w:rsidP="00CC1EB5">
      <w:pPr>
        <w:tabs>
          <w:tab w:val="left" w:pos="1161"/>
        </w:tabs>
        <w:ind w:left="50"/>
        <w:rPr>
          <w:rFonts w:cs="Arial"/>
          <w:b/>
          <w:i/>
          <w:color w:val="00B050"/>
        </w:rPr>
      </w:pPr>
    </w:p>
    <w:p w:rsidR="00CC1EB5" w:rsidRPr="00CC1EB5" w:rsidRDefault="00CC1EB5" w:rsidP="00CC1EB5">
      <w:pPr>
        <w:tabs>
          <w:tab w:val="left" w:pos="1161"/>
        </w:tabs>
        <w:ind w:left="50"/>
        <w:rPr>
          <w:rFonts w:cs="Arial"/>
          <w:b/>
          <w:i/>
          <w:color w:val="00B050"/>
        </w:rPr>
      </w:pPr>
      <w:r w:rsidRPr="00CC1EB5">
        <w:rPr>
          <w:rFonts w:cs="Arial"/>
          <w:b/>
          <w:i/>
          <w:color w:val="00B050"/>
        </w:rPr>
        <w:t>S01EE</w:t>
      </w:r>
      <w:r w:rsidRPr="00CC1EB5">
        <w:rPr>
          <w:rFonts w:cs="Arial"/>
          <w:b/>
          <w:i/>
          <w:color w:val="00B050"/>
        </w:rPr>
        <w:tab/>
        <w:t xml:space="preserve">ANALOGOS DE LAS PROSTAGLANDINAS </w:t>
      </w:r>
    </w:p>
    <w:p w:rsidR="00CC1EB5" w:rsidRPr="00CC1EB5" w:rsidRDefault="00CC1EB5" w:rsidP="00CC1EB5">
      <w:pPr>
        <w:tabs>
          <w:tab w:val="left" w:pos="1161"/>
        </w:tabs>
        <w:ind w:left="50"/>
        <w:rPr>
          <w:rFonts w:cs="Arial"/>
          <w:b/>
          <w:i/>
          <w:color w:val="00B050"/>
        </w:rPr>
      </w:pPr>
      <w:r w:rsidRPr="00CC1EB5">
        <w:rPr>
          <w:rFonts w:cs="Arial"/>
          <w:b/>
          <w:i/>
          <w:color w:val="00B050"/>
        </w:rPr>
        <w:t>S01EE01</w:t>
      </w:r>
      <w:r w:rsidRPr="00CC1EB5">
        <w:rPr>
          <w:rFonts w:cs="Arial"/>
          <w:b/>
          <w:i/>
          <w:color w:val="00B050"/>
        </w:rPr>
        <w:tab/>
        <w:t xml:space="preserve">LATANOPROST  </w:t>
      </w:r>
    </w:p>
    <w:p w:rsidR="00CC1EB5" w:rsidRPr="00CC1EB5" w:rsidRDefault="00CC1EB5" w:rsidP="00396EBC">
      <w:pPr>
        <w:numPr>
          <w:ilvl w:val="0"/>
          <w:numId w:val="84"/>
        </w:numPr>
        <w:spacing w:after="0" w:line="240" w:lineRule="auto"/>
        <w:jc w:val="both"/>
        <w:rPr>
          <w:rFonts w:cs="Arial"/>
          <w:b/>
        </w:rPr>
      </w:pPr>
      <w:r w:rsidRPr="00CC1EB5">
        <w:rPr>
          <w:rFonts w:cs="Arial"/>
        </w:rPr>
        <w:t xml:space="preserve">Fármaco de alternativa para el tratamiento del glaucoma de ángulo abierto refractario al tratamiento con </w:t>
      </w:r>
      <w:proofErr w:type="spellStart"/>
      <w:r w:rsidRPr="00CC1EB5">
        <w:rPr>
          <w:rFonts w:cs="Arial"/>
        </w:rPr>
        <w:t>timolol</w:t>
      </w:r>
      <w:proofErr w:type="spellEnd"/>
      <w:r w:rsidRPr="00CC1EB5">
        <w:rPr>
          <w:rFonts w:cs="Arial"/>
        </w:rPr>
        <w:t xml:space="preserve"> o en situaciones donde se han producido efectos adversos al mismo o de adición cuando no se ha logrado adecuado control.</w:t>
      </w:r>
    </w:p>
    <w:p w:rsidR="00CC1EB5" w:rsidRPr="00CC1EB5" w:rsidRDefault="00CC1EB5" w:rsidP="00CC1EB5">
      <w:pPr>
        <w:tabs>
          <w:tab w:val="num" w:pos="720"/>
        </w:tabs>
        <w:ind w:left="720" w:hanging="360"/>
        <w:jc w:val="both"/>
        <w:rPr>
          <w:rFonts w:cs="Arial"/>
          <w:bCs/>
        </w:rPr>
      </w:pPr>
      <w:r w:rsidRPr="00CC1EB5">
        <w:rPr>
          <w:rFonts w:cs="Arial"/>
          <w:bCs/>
          <w:u w:val="single"/>
        </w:rPr>
        <w:t>Dosis</w:t>
      </w:r>
      <w:r w:rsidRPr="00CC1EB5">
        <w:rPr>
          <w:rFonts w:cs="Arial"/>
          <w:bCs/>
        </w:rPr>
        <w:t xml:space="preserve">: colirio al 0.005 %; colocar una gota en cada ojo afectado una vez    </w:t>
      </w:r>
    </w:p>
    <w:p w:rsidR="00CC1EB5" w:rsidRPr="00CC1EB5" w:rsidRDefault="00CC1EB5" w:rsidP="00CC1EB5">
      <w:pPr>
        <w:tabs>
          <w:tab w:val="num" w:pos="720"/>
        </w:tabs>
        <w:ind w:left="720" w:hanging="360"/>
        <w:jc w:val="both"/>
        <w:rPr>
          <w:rFonts w:cs="Arial"/>
          <w:bCs/>
        </w:rPr>
      </w:pPr>
      <w:r w:rsidRPr="00CC1EB5">
        <w:rPr>
          <w:rFonts w:cs="Arial"/>
          <w:bCs/>
        </w:rPr>
        <w:t xml:space="preserve">          </w:t>
      </w:r>
      <w:proofErr w:type="gramStart"/>
      <w:r w:rsidRPr="00CC1EB5">
        <w:rPr>
          <w:rFonts w:cs="Arial"/>
          <w:bCs/>
        </w:rPr>
        <w:t>al</w:t>
      </w:r>
      <w:proofErr w:type="gramEnd"/>
      <w:r w:rsidRPr="00CC1EB5">
        <w:rPr>
          <w:rFonts w:cs="Arial"/>
          <w:bCs/>
        </w:rPr>
        <w:t xml:space="preserve"> día por la noche.</w:t>
      </w:r>
    </w:p>
    <w:p w:rsidR="00CC1EB5" w:rsidRPr="00CC1EB5" w:rsidRDefault="00CC1EB5" w:rsidP="00CC1EB5">
      <w:pPr>
        <w:tabs>
          <w:tab w:val="num" w:pos="720"/>
        </w:tabs>
        <w:jc w:val="both"/>
        <w:rPr>
          <w:rFonts w:cs="Arial"/>
          <w:bCs/>
        </w:rPr>
      </w:pPr>
      <w:r w:rsidRPr="00CC1EB5">
        <w:rPr>
          <w:rFonts w:cs="Arial"/>
          <w:bCs/>
        </w:rPr>
        <w:t xml:space="preserve"> </w:t>
      </w:r>
    </w:p>
    <w:p w:rsidR="00CC1EB5" w:rsidRPr="00CC1EB5" w:rsidRDefault="00CC1EB5" w:rsidP="00CC1EB5">
      <w:pPr>
        <w:tabs>
          <w:tab w:val="num" w:pos="720"/>
        </w:tabs>
        <w:jc w:val="both"/>
        <w:rPr>
          <w:rFonts w:cs="Arial"/>
          <w:b/>
          <w:bCs/>
          <w:i/>
          <w:color w:val="00B050"/>
        </w:rPr>
      </w:pPr>
      <w:r w:rsidRPr="00CC1EB5">
        <w:rPr>
          <w:rFonts w:cs="Arial"/>
          <w:b/>
          <w:bCs/>
          <w:i/>
          <w:color w:val="00B050"/>
        </w:rPr>
        <w:t>S01EE04 TRAVOPROST</w:t>
      </w:r>
    </w:p>
    <w:p w:rsidR="00CC1EB5" w:rsidRPr="00CC1EB5" w:rsidRDefault="00CC1EB5" w:rsidP="00396EBC">
      <w:pPr>
        <w:numPr>
          <w:ilvl w:val="0"/>
          <w:numId w:val="84"/>
        </w:numPr>
        <w:spacing w:after="0" w:line="240" w:lineRule="auto"/>
        <w:jc w:val="both"/>
        <w:rPr>
          <w:rFonts w:cs="Arial"/>
          <w:b/>
          <w:bCs/>
        </w:rPr>
      </w:pPr>
      <w:r w:rsidRPr="00CC1EB5">
        <w:rPr>
          <w:rFonts w:cs="Arial"/>
        </w:rPr>
        <w:t xml:space="preserve">Fármaco de alternativa para el tratamiento del glaucoma de ángulo abierto refractario al tratamiento con </w:t>
      </w:r>
      <w:proofErr w:type="spellStart"/>
      <w:r w:rsidRPr="00CC1EB5">
        <w:rPr>
          <w:rFonts w:cs="Arial"/>
        </w:rPr>
        <w:t>timolol</w:t>
      </w:r>
      <w:proofErr w:type="spellEnd"/>
      <w:r w:rsidRPr="00CC1EB5">
        <w:rPr>
          <w:rFonts w:cs="Arial"/>
        </w:rPr>
        <w:t xml:space="preserve"> o en situaciones donde se han producido efectos adversos al mismo o de adición cuando no se ha logrado adecuado control.</w:t>
      </w:r>
    </w:p>
    <w:p w:rsidR="00CC1EB5" w:rsidRPr="00CC1EB5" w:rsidRDefault="00CC1EB5" w:rsidP="00CC1EB5">
      <w:pPr>
        <w:tabs>
          <w:tab w:val="num" w:pos="720"/>
        </w:tabs>
        <w:ind w:left="720" w:hanging="360"/>
        <w:jc w:val="both"/>
        <w:rPr>
          <w:rFonts w:cs="Arial"/>
          <w:bCs/>
        </w:rPr>
      </w:pPr>
      <w:r w:rsidRPr="00CC1EB5">
        <w:rPr>
          <w:rFonts w:cs="Arial"/>
          <w:bCs/>
          <w:u w:val="single"/>
        </w:rPr>
        <w:t>Dosis</w:t>
      </w:r>
      <w:r w:rsidRPr="00CC1EB5">
        <w:rPr>
          <w:rFonts w:cs="Arial"/>
          <w:bCs/>
        </w:rPr>
        <w:t xml:space="preserve">: colirio al 0.004 %; colocar una gota en cada ojo afectado una vez    </w:t>
      </w:r>
    </w:p>
    <w:p w:rsidR="00CC1EB5" w:rsidRPr="00CC1EB5" w:rsidRDefault="00CC1EB5" w:rsidP="00CC1EB5">
      <w:pPr>
        <w:tabs>
          <w:tab w:val="num" w:pos="720"/>
        </w:tabs>
        <w:ind w:left="720" w:hanging="360"/>
        <w:jc w:val="both"/>
        <w:rPr>
          <w:rFonts w:cs="Arial"/>
          <w:bCs/>
        </w:rPr>
      </w:pPr>
      <w:r w:rsidRPr="00CC1EB5">
        <w:rPr>
          <w:rFonts w:cs="Arial"/>
          <w:bCs/>
        </w:rPr>
        <w:t xml:space="preserve">          </w:t>
      </w:r>
      <w:proofErr w:type="gramStart"/>
      <w:r w:rsidRPr="00CC1EB5">
        <w:rPr>
          <w:rFonts w:cs="Arial"/>
          <w:bCs/>
        </w:rPr>
        <w:t>al</w:t>
      </w:r>
      <w:proofErr w:type="gramEnd"/>
      <w:r w:rsidRPr="00CC1EB5">
        <w:rPr>
          <w:rFonts w:cs="Arial"/>
          <w:bCs/>
        </w:rPr>
        <w:t xml:space="preserve"> día por la noche.</w:t>
      </w:r>
    </w:p>
    <w:p w:rsidR="00CC1EB5" w:rsidRPr="00CC1EB5" w:rsidRDefault="00CC1EB5" w:rsidP="00CC1EB5">
      <w:pPr>
        <w:tabs>
          <w:tab w:val="left" w:pos="1161"/>
        </w:tabs>
        <w:ind w:left="50"/>
        <w:rPr>
          <w:rFonts w:cs="Arial"/>
        </w:rPr>
      </w:pPr>
    </w:p>
    <w:p w:rsidR="00CC1EB5" w:rsidRPr="00CC1EB5" w:rsidRDefault="00CC1EB5" w:rsidP="00CC1EB5">
      <w:pPr>
        <w:tabs>
          <w:tab w:val="left" w:pos="1161"/>
        </w:tabs>
        <w:ind w:left="50"/>
        <w:rPr>
          <w:rFonts w:cs="Arial"/>
          <w:b/>
          <w:i/>
          <w:color w:val="00B050"/>
        </w:rPr>
      </w:pPr>
      <w:r w:rsidRPr="00CC1EB5">
        <w:rPr>
          <w:rFonts w:cs="Arial"/>
          <w:b/>
          <w:i/>
          <w:color w:val="00B050"/>
        </w:rPr>
        <w:t>V03AC</w:t>
      </w:r>
      <w:r w:rsidRPr="00CC1EB5">
        <w:rPr>
          <w:rFonts w:cs="Arial"/>
          <w:b/>
          <w:i/>
          <w:color w:val="00B050"/>
        </w:rPr>
        <w:tab/>
        <w:t>AGENTES QUELANTES DE HIERRO</w:t>
      </w:r>
    </w:p>
    <w:p w:rsidR="00CC1EB5" w:rsidRPr="00CC1EB5" w:rsidRDefault="00CC1EB5" w:rsidP="00CC1EB5">
      <w:pPr>
        <w:tabs>
          <w:tab w:val="left" w:pos="1161"/>
        </w:tabs>
        <w:ind w:left="50"/>
        <w:rPr>
          <w:rFonts w:cs="Arial"/>
          <w:b/>
          <w:i/>
          <w:color w:val="00B050"/>
        </w:rPr>
      </w:pPr>
      <w:r w:rsidRPr="00CC1EB5">
        <w:rPr>
          <w:rFonts w:cs="Arial"/>
          <w:b/>
          <w:i/>
          <w:color w:val="00B050"/>
        </w:rPr>
        <w:t>V03AC01</w:t>
      </w:r>
      <w:r w:rsidRPr="00CC1EB5">
        <w:rPr>
          <w:rFonts w:cs="Arial"/>
          <w:b/>
          <w:i/>
          <w:color w:val="00B050"/>
        </w:rPr>
        <w:tab/>
        <w:t xml:space="preserve">DESFEROXAMINA METANSULFONATO               </w:t>
      </w:r>
    </w:p>
    <w:p w:rsidR="00CC1EB5" w:rsidRPr="00CC1EB5" w:rsidRDefault="00CC1EB5" w:rsidP="00396EBC">
      <w:pPr>
        <w:numPr>
          <w:ilvl w:val="0"/>
          <w:numId w:val="84"/>
        </w:numPr>
        <w:tabs>
          <w:tab w:val="left" w:pos="1161"/>
        </w:tabs>
        <w:spacing w:after="0" w:line="240" w:lineRule="auto"/>
        <w:rPr>
          <w:rFonts w:cs="Arial"/>
        </w:rPr>
      </w:pPr>
      <w:r w:rsidRPr="00CC1EB5">
        <w:rPr>
          <w:rFonts w:cs="Arial"/>
        </w:rPr>
        <w:t xml:space="preserve">Tratamiento </w:t>
      </w:r>
      <w:proofErr w:type="spellStart"/>
      <w:r w:rsidRPr="00CC1EB5">
        <w:rPr>
          <w:rFonts w:cs="Arial"/>
        </w:rPr>
        <w:t>quelante</w:t>
      </w:r>
      <w:proofErr w:type="spellEnd"/>
      <w:r w:rsidRPr="00CC1EB5">
        <w:rPr>
          <w:rFonts w:cs="Arial"/>
        </w:rPr>
        <w:t xml:space="preserve"> en pacientes con </w:t>
      </w:r>
      <w:proofErr w:type="spellStart"/>
      <w:r w:rsidRPr="00CC1EB5">
        <w:rPr>
          <w:rFonts w:cs="Arial"/>
        </w:rPr>
        <w:t>hemosiderosis</w:t>
      </w:r>
      <w:proofErr w:type="spellEnd"/>
      <w:r w:rsidRPr="00CC1EB5">
        <w:rPr>
          <w:rFonts w:cs="Arial"/>
        </w:rPr>
        <w:t xml:space="preserve"> e intoxicación aguda con hierro.</w:t>
      </w:r>
    </w:p>
    <w:p w:rsidR="00CC1EB5" w:rsidRPr="00CC1EB5" w:rsidRDefault="00CC1EB5" w:rsidP="00396EBC">
      <w:pPr>
        <w:numPr>
          <w:ilvl w:val="0"/>
          <w:numId w:val="84"/>
        </w:numPr>
        <w:spacing w:after="0" w:line="240" w:lineRule="auto"/>
        <w:jc w:val="both"/>
        <w:rPr>
          <w:rFonts w:cs="Arial"/>
        </w:rPr>
      </w:pPr>
      <w:r w:rsidRPr="00CC1EB5">
        <w:rPr>
          <w:rFonts w:cs="Arial"/>
        </w:rPr>
        <w:t xml:space="preserve">Tratamiento </w:t>
      </w:r>
      <w:proofErr w:type="spellStart"/>
      <w:r w:rsidRPr="00CC1EB5">
        <w:rPr>
          <w:rFonts w:cs="Arial"/>
        </w:rPr>
        <w:t>quelante</w:t>
      </w:r>
      <w:proofErr w:type="spellEnd"/>
      <w:r w:rsidRPr="00CC1EB5">
        <w:rPr>
          <w:rFonts w:cs="Arial"/>
        </w:rPr>
        <w:t xml:space="preserve"> del aluminio en pacientes en hemodiálisis.</w:t>
      </w:r>
    </w:p>
    <w:p w:rsidR="00CC1EB5" w:rsidRDefault="00CC1EB5" w:rsidP="00CC1EB5">
      <w:pPr>
        <w:ind w:left="360"/>
        <w:jc w:val="both"/>
        <w:rPr>
          <w:rFonts w:cs="Arial"/>
        </w:rPr>
      </w:pPr>
      <w:r w:rsidRPr="00CC1EB5">
        <w:rPr>
          <w:rFonts w:cs="Arial"/>
          <w:u w:val="single"/>
        </w:rPr>
        <w:t>Dosis</w:t>
      </w:r>
      <w:r w:rsidRPr="00CC1EB5">
        <w:rPr>
          <w:rFonts w:cs="Arial"/>
        </w:rPr>
        <w:t>: variable según el caso.</w:t>
      </w:r>
    </w:p>
    <w:p w:rsidR="00CC1EB5" w:rsidRDefault="00CC1EB5" w:rsidP="00CC1EB5">
      <w:pPr>
        <w:ind w:left="360"/>
        <w:jc w:val="both"/>
        <w:rPr>
          <w:rFonts w:cs="Arial"/>
        </w:rPr>
      </w:pPr>
    </w:p>
    <w:p w:rsidR="00CC1EB5" w:rsidRPr="00CC1EB5" w:rsidRDefault="00CC1EB5" w:rsidP="00CC1EB5">
      <w:pPr>
        <w:ind w:left="360"/>
        <w:jc w:val="both"/>
        <w:rPr>
          <w:rFonts w:cs="Arial"/>
        </w:rPr>
      </w:pPr>
    </w:p>
    <w:p w:rsidR="00CC1EB5" w:rsidRPr="003A42F3" w:rsidRDefault="00CC1EB5" w:rsidP="00CC1EB5">
      <w:pPr>
        <w:jc w:val="both"/>
        <w:rPr>
          <w:b/>
          <w:i/>
          <w:color w:val="00B050"/>
        </w:rPr>
      </w:pPr>
      <w:r w:rsidRPr="003A42F3">
        <w:rPr>
          <w:b/>
          <w:i/>
          <w:color w:val="00B050"/>
        </w:rPr>
        <w:t>V07AD9</w:t>
      </w:r>
      <w:r>
        <w:rPr>
          <w:b/>
          <w:i/>
          <w:color w:val="00B050"/>
        </w:rPr>
        <w:t>6</w:t>
      </w:r>
      <w:r w:rsidRPr="003A42F3">
        <w:rPr>
          <w:b/>
          <w:i/>
          <w:color w:val="00B050"/>
        </w:rPr>
        <w:t>.A    REACTIVOS PARA DETERMINACION DE CETON</w:t>
      </w:r>
      <w:r>
        <w:rPr>
          <w:b/>
          <w:i/>
          <w:color w:val="00B050"/>
        </w:rPr>
        <w:t>EMIA</w:t>
      </w:r>
      <w:r w:rsidRPr="003A42F3">
        <w:rPr>
          <w:b/>
          <w:i/>
          <w:color w:val="00B050"/>
        </w:rPr>
        <w:t xml:space="preserve">    </w:t>
      </w:r>
    </w:p>
    <w:p w:rsidR="00CC1EB5" w:rsidRPr="003A42F3" w:rsidRDefault="00CC1EB5" w:rsidP="00CC1EB5">
      <w:pPr>
        <w:jc w:val="both"/>
        <w:rPr>
          <w:b/>
          <w:i/>
          <w:color w:val="00B050"/>
        </w:rPr>
      </w:pPr>
      <w:r w:rsidRPr="003A42F3">
        <w:rPr>
          <w:b/>
          <w:i/>
          <w:color w:val="00B050"/>
        </w:rPr>
        <w:t xml:space="preserve">V07AD98.A    REACTIVOS PARA DETERMINACION DE GLUCEMIA </w:t>
      </w:r>
    </w:p>
    <w:p w:rsidR="00CC1EB5" w:rsidRPr="00CC1EB5" w:rsidRDefault="00CC1EB5" w:rsidP="00CC1EB5">
      <w:pPr>
        <w:ind w:left="360"/>
        <w:jc w:val="both"/>
        <w:rPr>
          <w:rFonts w:cs="Arial"/>
        </w:rPr>
      </w:pPr>
    </w:p>
    <w:p w:rsidR="00CC1EB5" w:rsidRPr="00CC1EB5" w:rsidRDefault="00CC1EB5" w:rsidP="00CC1EB5">
      <w:pPr>
        <w:ind w:left="360"/>
        <w:jc w:val="both"/>
        <w:rPr>
          <w:rFonts w:cs="Arial"/>
        </w:rPr>
      </w:pPr>
      <w:r w:rsidRPr="003A42F3">
        <w:rPr>
          <w:noProof/>
          <w:lang w:val="es-AR" w:eastAsia="es-AR"/>
        </w:rPr>
        <w:lastRenderedPageBreak/>
        <w:drawing>
          <wp:inline distT="0" distB="0" distL="0" distR="0" wp14:anchorId="57C9886F" wp14:editId="6983F64B">
            <wp:extent cx="5400040" cy="3110836"/>
            <wp:effectExtent l="0" t="0" r="0" b="0"/>
            <wp:docPr id="2" name="Imagen 2" descr="http://www.cofa.org.ar/wp-content/uploads/2017/06/Tiras-Disp-Ju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fa.org.ar/wp-content/uploads/2017/06/Tiras-Disp-Jun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110836"/>
                    </a:xfrm>
                    <a:prstGeom prst="rect">
                      <a:avLst/>
                    </a:prstGeom>
                    <a:noFill/>
                    <a:ln>
                      <a:noFill/>
                    </a:ln>
                  </pic:spPr>
                </pic:pic>
              </a:graphicData>
            </a:graphic>
          </wp:inline>
        </w:drawing>
      </w:r>
    </w:p>
    <w:p w:rsidR="00CC1EB5" w:rsidRPr="00CC1EB5" w:rsidRDefault="00CC1EB5" w:rsidP="00CC1EB5">
      <w:pPr>
        <w:jc w:val="both"/>
        <w:rPr>
          <w:sz w:val="20"/>
          <w:szCs w:val="20"/>
        </w:rPr>
      </w:pPr>
      <w:r w:rsidRPr="00CC1EB5">
        <w:rPr>
          <w:b/>
          <w:sz w:val="20"/>
          <w:szCs w:val="20"/>
        </w:rPr>
        <w:t>Fuentes de Información</w:t>
      </w:r>
    </w:p>
    <w:p w:rsidR="00CC1EB5" w:rsidRPr="00CC1EB5" w:rsidRDefault="00CC1EB5" w:rsidP="00CC1EB5">
      <w:pPr>
        <w:jc w:val="both"/>
        <w:rPr>
          <w:sz w:val="20"/>
          <w:szCs w:val="20"/>
        </w:rPr>
      </w:pPr>
      <w:r w:rsidRPr="00CC1EB5">
        <w:rPr>
          <w:sz w:val="20"/>
          <w:szCs w:val="20"/>
        </w:rPr>
        <w:t xml:space="preserve">Las presentes recomendaciones de uso, fueron elaboradas por la Fca. Guadalupe Soulages y el Dr. Constantino </w:t>
      </w:r>
      <w:proofErr w:type="spellStart"/>
      <w:r w:rsidRPr="00CC1EB5">
        <w:rPr>
          <w:sz w:val="20"/>
          <w:szCs w:val="20"/>
        </w:rPr>
        <w:t>Touloupas</w:t>
      </w:r>
      <w:proofErr w:type="spellEnd"/>
      <w:r w:rsidRPr="00CC1EB5">
        <w:rPr>
          <w:sz w:val="20"/>
          <w:szCs w:val="20"/>
        </w:rPr>
        <w:t>, consultores en medicamentos del SEMPRE y se encuentran  basadas en la información científica disponible al mes de junio de</w:t>
      </w:r>
      <w:r w:rsidR="00B56100">
        <w:rPr>
          <w:sz w:val="20"/>
          <w:szCs w:val="20"/>
        </w:rPr>
        <w:t xml:space="preserve"> 2019</w:t>
      </w:r>
      <w:r w:rsidRPr="00CC1EB5">
        <w:rPr>
          <w:sz w:val="20"/>
          <w:szCs w:val="20"/>
        </w:rPr>
        <w:t xml:space="preserve"> y obtenida de: </w:t>
      </w:r>
    </w:p>
    <w:p w:rsidR="00CC1EB5" w:rsidRPr="00CC1EB5" w:rsidRDefault="00CC1EB5" w:rsidP="00CC1EB5">
      <w:pPr>
        <w:jc w:val="both"/>
        <w:rPr>
          <w:sz w:val="20"/>
          <w:szCs w:val="20"/>
        </w:rPr>
      </w:pPr>
    </w:p>
    <w:p w:rsidR="00F92270" w:rsidRDefault="00F92270" w:rsidP="00396EBC">
      <w:pPr>
        <w:numPr>
          <w:ilvl w:val="0"/>
          <w:numId w:val="85"/>
        </w:numPr>
        <w:spacing w:after="0" w:line="240" w:lineRule="auto"/>
        <w:jc w:val="both"/>
        <w:outlineLvl w:val="0"/>
        <w:rPr>
          <w:sz w:val="20"/>
          <w:szCs w:val="20"/>
        </w:rPr>
      </w:pPr>
    </w:p>
    <w:p w:rsidR="00CC1EB5" w:rsidRPr="00CC1EB5" w:rsidRDefault="00CC1EB5" w:rsidP="00396EBC">
      <w:pPr>
        <w:numPr>
          <w:ilvl w:val="0"/>
          <w:numId w:val="85"/>
        </w:numPr>
        <w:spacing w:after="0" w:line="240" w:lineRule="auto"/>
        <w:jc w:val="both"/>
        <w:outlineLvl w:val="0"/>
        <w:rPr>
          <w:sz w:val="20"/>
          <w:szCs w:val="20"/>
        </w:rPr>
      </w:pPr>
      <w:bookmarkStart w:id="12" w:name="_GoBack"/>
      <w:bookmarkEnd w:id="12"/>
      <w:r w:rsidRPr="00CC1EB5">
        <w:rPr>
          <w:sz w:val="20"/>
          <w:szCs w:val="20"/>
        </w:rPr>
        <w:t xml:space="preserve">Ensayos clínicos controlados publicados en Revistas de Referencia de los Problemas de Salud para los que se encuentran indicados estos fármacos y trabajos originales relacionados, identificados a través del sistema </w:t>
      </w:r>
      <w:proofErr w:type="spellStart"/>
      <w:r w:rsidRPr="00CC1EB5">
        <w:rPr>
          <w:sz w:val="20"/>
          <w:szCs w:val="20"/>
        </w:rPr>
        <w:t>Medline</w:t>
      </w:r>
      <w:proofErr w:type="spellEnd"/>
      <w:r w:rsidRPr="00CC1EB5">
        <w:rPr>
          <w:sz w:val="20"/>
          <w:szCs w:val="20"/>
        </w:rPr>
        <w:t xml:space="preserve">  (EEUU- ).</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Ensayos clínicos controlados publicados en Revistas de Referencia citados específicamente en los distintos apartados del texto precedente.</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 xml:space="preserve">Paneles de Consenso y Recomendaciones del </w:t>
      </w:r>
      <w:proofErr w:type="spellStart"/>
      <w:r w:rsidRPr="00CC1EB5">
        <w:rPr>
          <w:sz w:val="20"/>
          <w:szCs w:val="20"/>
        </w:rPr>
        <w:t>National</w:t>
      </w:r>
      <w:proofErr w:type="spellEnd"/>
      <w:r w:rsidRPr="00CC1EB5">
        <w:rPr>
          <w:sz w:val="20"/>
          <w:szCs w:val="20"/>
        </w:rPr>
        <w:t xml:space="preserve"> </w:t>
      </w:r>
      <w:proofErr w:type="spellStart"/>
      <w:r w:rsidRPr="00CC1EB5">
        <w:rPr>
          <w:sz w:val="20"/>
          <w:szCs w:val="20"/>
        </w:rPr>
        <w:t>Institute</w:t>
      </w:r>
      <w:proofErr w:type="spellEnd"/>
      <w:r w:rsidRPr="00CC1EB5">
        <w:rPr>
          <w:sz w:val="20"/>
          <w:szCs w:val="20"/>
        </w:rPr>
        <w:t xml:space="preserve"> of </w:t>
      </w:r>
      <w:proofErr w:type="spellStart"/>
      <w:r w:rsidRPr="00CC1EB5">
        <w:rPr>
          <w:sz w:val="20"/>
          <w:szCs w:val="20"/>
        </w:rPr>
        <w:t>Health</w:t>
      </w:r>
      <w:proofErr w:type="spellEnd"/>
      <w:r w:rsidRPr="00CC1EB5">
        <w:rPr>
          <w:sz w:val="20"/>
          <w:szCs w:val="20"/>
        </w:rPr>
        <w:t xml:space="preserve"> (EEUU) y del CDC (Centro de control de enfermedades infecciosas) </w:t>
      </w:r>
      <w:proofErr w:type="spellStart"/>
      <w:r w:rsidRPr="00CC1EB5">
        <w:rPr>
          <w:sz w:val="20"/>
          <w:szCs w:val="20"/>
        </w:rPr>
        <w:t>Atlanta.EEUU</w:t>
      </w:r>
      <w:proofErr w:type="spellEnd"/>
      <w:r w:rsidRPr="00CC1EB5">
        <w:rPr>
          <w:sz w:val="20"/>
          <w:szCs w:val="20"/>
        </w:rPr>
        <w:t>.</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Paneles de Consenso y Recomendaciones del NICE (</w:t>
      </w:r>
      <w:proofErr w:type="spellStart"/>
      <w:r w:rsidRPr="00CC1EB5">
        <w:rPr>
          <w:sz w:val="20"/>
          <w:szCs w:val="20"/>
        </w:rPr>
        <w:t>National</w:t>
      </w:r>
      <w:proofErr w:type="spellEnd"/>
      <w:r w:rsidRPr="00CC1EB5">
        <w:rPr>
          <w:sz w:val="20"/>
          <w:szCs w:val="20"/>
        </w:rPr>
        <w:t xml:space="preserve"> </w:t>
      </w:r>
      <w:proofErr w:type="spellStart"/>
      <w:r w:rsidRPr="00CC1EB5">
        <w:rPr>
          <w:sz w:val="20"/>
          <w:szCs w:val="20"/>
        </w:rPr>
        <w:t>Institute</w:t>
      </w:r>
      <w:proofErr w:type="spellEnd"/>
      <w:r w:rsidRPr="00CC1EB5">
        <w:rPr>
          <w:sz w:val="20"/>
          <w:szCs w:val="20"/>
        </w:rPr>
        <w:t xml:space="preserve"> </w:t>
      </w:r>
      <w:proofErr w:type="spellStart"/>
      <w:r w:rsidRPr="00CC1EB5">
        <w:rPr>
          <w:sz w:val="20"/>
          <w:szCs w:val="20"/>
        </w:rPr>
        <w:t>for</w:t>
      </w:r>
      <w:proofErr w:type="spellEnd"/>
      <w:r w:rsidRPr="00CC1EB5">
        <w:rPr>
          <w:sz w:val="20"/>
          <w:szCs w:val="20"/>
        </w:rPr>
        <w:t xml:space="preserve"> </w:t>
      </w:r>
      <w:proofErr w:type="spellStart"/>
      <w:r w:rsidRPr="00CC1EB5">
        <w:rPr>
          <w:sz w:val="20"/>
          <w:szCs w:val="20"/>
        </w:rPr>
        <w:t>Clinical</w:t>
      </w:r>
      <w:proofErr w:type="spellEnd"/>
      <w:r w:rsidRPr="00CC1EB5">
        <w:rPr>
          <w:sz w:val="20"/>
          <w:szCs w:val="20"/>
        </w:rPr>
        <w:t xml:space="preserve">  </w:t>
      </w:r>
      <w:proofErr w:type="spellStart"/>
      <w:r w:rsidRPr="00CC1EB5">
        <w:rPr>
          <w:sz w:val="20"/>
          <w:szCs w:val="20"/>
        </w:rPr>
        <w:t>Excellence</w:t>
      </w:r>
      <w:proofErr w:type="spellEnd"/>
      <w:r w:rsidRPr="00CC1EB5">
        <w:rPr>
          <w:sz w:val="20"/>
          <w:szCs w:val="20"/>
        </w:rPr>
        <w:t>) del REINO UNIDO.</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 xml:space="preserve">Evaluaciones sobre costo efectividad y costo utilidad de la Cochrane </w:t>
      </w:r>
      <w:proofErr w:type="spellStart"/>
      <w:r w:rsidRPr="00CC1EB5">
        <w:rPr>
          <w:sz w:val="20"/>
          <w:szCs w:val="20"/>
        </w:rPr>
        <w:t>Collaboration</w:t>
      </w:r>
      <w:proofErr w:type="spellEnd"/>
      <w:r w:rsidRPr="00CC1EB5">
        <w:rPr>
          <w:sz w:val="20"/>
          <w:szCs w:val="20"/>
        </w:rPr>
        <w:t xml:space="preserve"> del Reino Unido.</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Status de Registro e Indicaciones Precisas del Fármaco en la F.D.A. (Administración de drogas y alimentos) de EE UU.</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Status de Registro e Indicaciones Precisas del Fármaco en la E.M.E.A. (Agencia europea de evaluación de medicamentos) de la Unión Europea.</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Status de Registro e Indicaciones Precisas del Fármaco en el Reino Unido, Canadá y Australia.</w:t>
      </w:r>
    </w:p>
    <w:p w:rsidR="00CC1EB5" w:rsidRPr="00CC1EB5" w:rsidRDefault="00CC1EB5" w:rsidP="00396EBC">
      <w:pPr>
        <w:numPr>
          <w:ilvl w:val="0"/>
          <w:numId w:val="85"/>
        </w:numPr>
        <w:spacing w:after="0" w:line="240" w:lineRule="auto"/>
        <w:jc w:val="both"/>
        <w:outlineLvl w:val="0"/>
        <w:rPr>
          <w:sz w:val="20"/>
          <w:szCs w:val="20"/>
        </w:rPr>
      </w:pPr>
      <w:r w:rsidRPr="00CC1EB5">
        <w:rPr>
          <w:sz w:val="20"/>
          <w:szCs w:val="20"/>
        </w:rPr>
        <w:t xml:space="preserve">Status de Registro e Indicaciones Precisas del Fármaco en la A.N.M.A.T (Administración Nacional de Medicamentos Alimentos y Tecnología) Argentina. </w:t>
      </w:r>
    </w:p>
    <w:p w:rsidR="00CC1EB5" w:rsidRPr="00B1108B" w:rsidRDefault="00CC1EB5" w:rsidP="00396EBC">
      <w:pPr>
        <w:numPr>
          <w:ilvl w:val="0"/>
          <w:numId w:val="85"/>
        </w:numPr>
        <w:spacing w:after="0" w:line="240" w:lineRule="auto"/>
        <w:jc w:val="both"/>
        <w:outlineLvl w:val="0"/>
        <w:rPr>
          <w:rFonts w:ascii="Verdana" w:hAnsi="Verdana"/>
          <w:sz w:val="20"/>
          <w:szCs w:val="20"/>
        </w:rPr>
      </w:pPr>
      <w:r>
        <w:rPr>
          <w:rFonts w:ascii="Verdana" w:hAnsi="Verdana"/>
          <w:sz w:val="20"/>
          <w:szCs w:val="20"/>
        </w:rPr>
        <w:t xml:space="preserve">Guías clínicas de problemas de salud prevalentes, cuyos autores declaren de modo explícito conflictos de interés y basen la recomendación en evidencia objetiva.  </w:t>
      </w:r>
    </w:p>
    <w:p w:rsidR="00CC1EB5" w:rsidRPr="00B1108B" w:rsidRDefault="00CC1EB5" w:rsidP="00CC1EB5">
      <w:pPr>
        <w:jc w:val="both"/>
        <w:rPr>
          <w:rFonts w:ascii="Tahoma" w:hAnsi="Tahoma"/>
          <w:sz w:val="28"/>
        </w:rPr>
      </w:pPr>
    </w:p>
    <w:p w:rsidR="00CC1EB5" w:rsidRDefault="00CC1EB5" w:rsidP="00CC1EB5">
      <w:pPr>
        <w:jc w:val="center"/>
        <w:rPr>
          <w:rFonts w:ascii="Verdana" w:hAnsi="Verdana"/>
          <w:b/>
          <w:lang w:val="es-MX"/>
        </w:rPr>
      </w:pPr>
    </w:p>
    <w:p w:rsidR="00CC1EB5" w:rsidRDefault="00CC1EB5" w:rsidP="00CC1EB5">
      <w:pPr>
        <w:jc w:val="center"/>
        <w:rPr>
          <w:rFonts w:ascii="Verdana" w:hAnsi="Verdana"/>
          <w:b/>
          <w:lang w:val="es-MX"/>
        </w:rPr>
      </w:pPr>
    </w:p>
    <w:p w:rsidR="00CF3CBF" w:rsidRPr="003A42F3" w:rsidRDefault="00CF3CBF" w:rsidP="00CF3CBF">
      <w:pPr>
        <w:jc w:val="both"/>
      </w:pPr>
      <w:bookmarkStart w:id="13" w:name="_Hlk519950103"/>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p w:rsidR="005677D9" w:rsidRPr="003A42F3" w:rsidRDefault="005677D9" w:rsidP="00CF3CBF">
      <w:pPr>
        <w:jc w:val="both"/>
      </w:pPr>
    </w:p>
    <w:bookmarkEnd w:id="13"/>
    <w:p w:rsidR="002D0CF6" w:rsidRDefault="002D0CF6" w:rsidP="00737917">
      <w:pPr>
        <w:jc w:val="both"/>
        <w:rPr>
          <w:b/>
          <w:i/>
          <w:color w:val="1F3864" w:themeColor="accent1" w:themeShade="80"/>
        </w:rPr>
      </w:pPr>
    </w:p>
    <w:p w:rsidR="00037D38" w:rsidRDefault="00037D38" w:rsidP="007456AA">
      <w:pPr>
        <w:pStyle w:val="Prrafodelista"/>
        <w:ind w:left="1440"/>
        <w:jc w:val="both"/>
      </w:pPr>
    </w:p>
    <w:p w:rsidR="00C6361A" w:rsidRDefault="00C6361A" w:rsidP="00737917">
      <w:pPr>
        <w:jc w:val="both"/>
        <w:rPr>
          <w:b/>
          <w:i/>
          <w:color w:val="1F3864" w:themeColor="accent1" w:themeShade="80"/>
        </w:rPr>
      </w:pPr>
    </w:p>
    <w:p w:rsidR="002D0CF6" w:rsidRDefault="002D0CF6" w:rsidP="00737917">
      <w:pPr>
        <w:jc w:val="both"/>
        <w:rPr>
          <w:b/>
          <w:i/>
          <w:color w:val="1F3864" w:themeColor="accent1" w:themeShade="80"/>
        </w:rPr>
      </w:pPr>
    </w:p>
    <w:p w:rsidR="00C864EB" w:rsidRDefault="00C864EB" w:rsidP="00737917">
      <w:pPr>
        <w:jc w:val="both"/>
        <w:rPr>
          <w:b/>
          <w:i/>
          <w:color w:val="1F3864" w:themeColor="accent1" w:themeShade="80"/>
        </w:rPr>
      </w:pPr>
    </w:p>
    <w:p w:rsidR="00646036" w:rsidRDefault="00646036" w:rsidP="00737917">
      <w:pPr>
        <w:jc w:val="both"/>
        <w:rPr>
          <w:b/>
          <w:i/>
          <w:color w:val="1F3864" w:themeColor="accent1" w:themeShade="80"/>
        </w:rPr>
      </w:pPr>
    </w:p>
    <w:p w:rsidR="00F91233" w:rsidRPr="00FA653E" w:rsidRDefault="00F91233" w:rsidP="00FA653E">
      <w:pPr>
        <w:pStyle w:val="Prrafodelista"/>
        <w:ind w:left="1260"/>
        <w:jc w:val="both"/>
        <w:rPr>
          <w:b/>
          <w:i/>
          <w:color w:val="1F3864" w:themeColor="accent1" w:themeShade="80"/>
        </w:rPr>
      </w:pPr>
    </w:p>
    <w:p w:rsidR="00DD36E5" w:rsidRPr="00DA3846" w:rsidRDefault="00DD36E5" w:rsidP="00DD36E5">
      <w:pPr>
        <w:pStyle w:val="Prrafodelista"/>
        <w:ind w:left="1815"/>
        <w:jc w:val="both"/>
      </w:pPr>
    </w:p>
    <w:p w:rsidR="005B40C7" w:rsidRPr="00981A4F" w:rsidRDefault="005B40C7" w:rsidP="005B40C7">
      <w:pPr>
        <w:jc w:val="both"/>
      </w:pPr>
    </w:p>
    <w:sectPr w:rsidR="005B40C7" w:rsidRPr="00981A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92" w:rsidRDefault="00B86D92" w:rsidP="00C219D2">
      <w:pPr>
        <w:spacing w:after="0" w:line="240" w:lineRule="auto"/>
      </w:pPr>
      <w:r>
        <w:separator/>
      </w:r>
    </w:p>
  </w:endnote>
  <w:endnote w:type="continuationSeparator" w:id="0">
    <w:p w:rsidR="00B86D92" w:rsidRDefault="00B86D92" w:rsidP="00C2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92" w:rsidRDefault="00B86D92" w:rsidP="00C219D2">
      <w:pPr>
        <w:spacing w:after="0" w:line="240" w:lineRule="auto"/>
      </w:pPr>
      <w:r>
        <w:separator/>
      </w:r>
    </w:p>
  </w:footnote>
  <w:footnote w:type="continuationSeparator" w:id="0">
    <w:p w:rsidR="00B86D92" w:rsidRDefault="00B86D92" w:rsidP="00C21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F02"/>
      </v:shape>
    </w:pict>
  </w:numPicBullet>
  <w:abstractNum w:abstractNumId="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A44151"/>
    <w:multiLevelType w:val="hybridMultilevel"/>
    <w:tmpl w:val="43846B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cs="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cs="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cs="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2">
    <w:nsid w:val="00BB3ADA"/>
    <w:multiLevelType w:val="hybridMultilevel"/>
    <w:tmpl w:val="024A417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10671F2"/>
    <w:multiLevelType w:val="hybridMultilevel"/>
    <w:tmpl w:val="077C941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1D45D90"/>
    <w:multiLevelType w:val="hybridMultilevel"/>
    <w:tmpl w:val="E0BC4D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035C0472"/>
    <w:multiLevelType w:val="hybridMultilevel"/>
    <w:tmpl w:val="FB8020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041679C3"/>
    <w:multiLevelType w:val="hybridMultilevel"/>
    <w:tmpl w:val="14C40E8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07921089"/>
    <w:multiLevelType w:val="hybridMultilevel"/>
    <w:tmpl w:val="5CAA7E4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8280581"/>
    <w:multiLevelType w:val="hybridMultilevel"/>
    <w:tmpl w:val="4998C8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089A28D1"/>
    <w:multiLevelType w:val="hybridMultilevel"/>
    <w:tmpl w:val="D46CAD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0A4E092E"/>
    <w:multiLevelType w:val="hybridMultilevel"/>
    <w:tmpl w:val="E30E4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940A3B"/>
    <w:multiLevelType w:val="hybridMultilevel"/>
    <w:tmpl w:val="ECAE58E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0F916D25"/>
    <w:multiLevelType w:val="hybridMultilevel"/>
    <w:tmpl w:val="0DA26F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0721D01"/>
    <w:multiLevelType w:val="hybridMultilevel"/>
    <w:tmpl w:val="B6A0C5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1594725"/>
    <w:multiLevelType w:val="hybridMultilevel"/>
    <w:tmpl w:val="5F3CE43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159225BE"/>
    <w:multiLevelType w:val="hybridMultilevel"/>
    <w:tmpl w:val="273441D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15AD47B5"/>
    <w:multiLevelType w:val="hybridMultilevel"/>
    <w:tmpl w:val="7B1445B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6574F66"/>
    <w:multiLevelType w:val="hybridMultilevel"/>
    <w:tmpl w:val="780039B2"/>
    <w:lvl w:ilvl="0" w:tplc="0C0A0001">
      <w:start w:val="1"/>
      <w:numFmt w:val="bullet"/>
      <w:lvlText w:val=""/>
      <w:lvlJc w:val="left"/>
      <w:pPr>
        <w:tabs>
          <w:tab w:val="num" w:pos="770"/>
        </w:tabs>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8">
    <w:nsid w:val="184C5CF1"/>
    <w:multiLevelType w:val="hybridMultilevel"/>
    <w:tmpl w:val="3BC0C6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1B1B168D"/>
    <w:multiLevelType w:val="hybridMultilevel"/>
    <w:tmpl w:val="5C7EC62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1E780CA8"/>
    <w:multiLevelType w:val="hybridMultilevel"/>
    <w:tmpl w:val="DCBE06E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1F05396A"/>
    <w:multiLevelType w:val="hybridMultilevel"/>
    <w:tmpl w:val="4258AF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210F6E20"/>
    <w:multiLevelType w:val="hybridMultilevel"/>
    <w:tmpl w:val="736A3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21CA7A3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nsid w:val="23DE2CB7"/>
    <w:multiLevelType w:val="hybridMultilevel"/>
    <w:tmpl w:val="B0B457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253D6090"/>
    <w:multiLevelType w:val="hybridMultilevel"/>
    <w:tmpl w:val="6368ED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27A9286B"/>
    <w:multiLevelType w:val="hybridMultilevel"/>
    <w:tmpl w:val="B01497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28267C61"/>
    <w:multiLevelType w:val="hybridMultilevel"/>
    <w:tmpl w:val="DC6A730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2C2F46AF"/>
    <w:multiLevelType w:val="hybridMultilevel"/>
    <w:tmpl w:val="A24230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2C7C491A"/>
    <w:multiLevelType w:val="hybridMultilevel"/>
    <w:tmpl w:val="0DB4331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2CA72E23"/>
    <w:multiLevelType w:val="hybridMultilevel"/>
    <w:tmpl w:val="7F426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E3E43A9"/>
    <w:multiLevelType w:val="hybridMultilevel"/>
    <w:tmpl w:val="00CCD3C6"/>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E73277E"/>
    <w:multiLevelType w:val="hybridMultilevel"/>
    <w:tmpl w:val="A56CCC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03B0227"/>
    <w:multiLevelType w:val="hybridMultilevel"/>
    <w:tmpl w:val="4AD64D4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3101362D"/>
    <w:multiLevelType w:val="hybridMultilevel"/>
    <w:tmpl w:val="48AC86D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32261BEF"/>
    <w:multiLevelType w:val="hybridMultilevel"/>
    <w:tmpl w:val="DD62A54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33DA79FA"/>
    <w:multiLevelType w:val="hybridMultilevel"/>
    <w:tmpl w:val="6D62B578"/>
    <w:lvl w:ilvl="0" w:tplc="2C0A0001">
      <w:start w:val="1"/>
      <w:numFmt w:val="bullet"/>
      <w:lvlText w:val=""/>
      <w:lvlJc w:val="left"/>
      <w:pPr>
        <w:ind w:left="1284" w:hanging="360"/>
      </w:pPr>
      <w:rPr>
        <w:rFonts w:ascii="Symbol" w:hAnsi="Symbol" w:hint="default"/>
      </w:rPr>
    </w:lvl>
    <w:lvl w:ilvl="1" w:tplc="2C0A0003" w:tentative="1">
      <w:start w:val="1"/>
      <w:numFmt w:val="bullet"/>
      <w:lvlText w:val="o"/>
      <w:lvlJc w:val="left"/>
      <w:pPr>
        <w:ind w:left="2004" w:hanging="360"/>
      </w:pPr>
      <w:rPr>
        <w:rFonts w:ascii="Courier New" w:hAnsi="Courier New" w:cs="Courier New" w:hint="default"/>
      </w:rPr>
    </w:lvl>
    <w:lvl w:ilvl="2" w:tplc="2C0A0005" w:tentative="1">
      <w:start w:val="1"/>
      <w:numFmt w:val="bullet"/>
      <w:lvlText w:val=""/>
      <w:lvlJc w:val="left"/>
      <w:pPr>
        <w:ind w:left="2724" w:hanging="360"/>
      </w:pPr>
      <w:rPr>
        <w:rFonts w:ascii="Wingdings" w:hAnsi="Wingdings" w:hint="default"/>
      </w:rPr>
    </w:lvl>
    <w:lvl w:ilvl="3" w:tplc="2C0A0001" w:tentative="1">
      <w:start w:val="1"/>
      <w:numFmt w:val="bullet"/>
      <w:lvlText w:val=""/>
      <w:lvlJc w:val="left"/>
      <w:pPr>
        <w:ind w:left="3444" w:hanging="360"/>
      </w:pPr>
      <w:rPr>
        <w:rFonts w:ascii="Symbol" w:hAnsi="Symbol" w:hint="default"/>
      </w:rPr>
    </w:lvl>
    <w:lvl w:ilvl="4" w:tplc="2C0A0003" w:tentative="1">
      <w:start w:val="1"/>
      <w:numFmt w:val="bullet"/>
      <w:lvlText w:val="o"/>
      <w:lvlJc w:val="left"/>
      <w:pPr>
        <w:ind w:left="4164" w:hanging="360"/>
      </w:pPr>
      <w:rPr>
        <w:rFonts w:ascii="Courier New" w:hAnsi="Courier New" w:cs="Courier New" w:hint="default"/>
      </w:rPr>
    </w:lvl>
    <w:lvl w:ilvl="5" w:tplc="2C0A0005" w:tentative="1">
      <w:start w:val="1"/>
      <w:numFmt w:val="bullet"/>
      <w:lvlText w:val=""/>
      <w:lvlJc w:val="left"/>
      <w:pPr>
        <w:ind w:left="4884" w:hanging="360"/>
      </w:pPr>
      <w:rPr>
        <w:rFonts w:ascii="Wingdings" w:hAnsi="Wingdings" w:hint="default"/>
      </w:rPr>
    </w:lvl>
    <w:lvl w:ilvl="6" w:tplc="2C0A0001" w:tentative="1">
      <w:start w:val="1"/>
      <w:numFmt w:val="bullet"/>
      <w:lvlText w:val=""/>
      <w:lvlJc w:val="left"/>
      <w:pPr>
        <w:ind w:left="5604" w:hanging="360"/>
      </w:pPr>
      <w:rPr>
        <w:rFonts w:ascii="Symbol" w:hAnsi="Symbol" w:hint="default"/>
      </w:rPr>
    </w:lvl>
    <w:lvl w:ilvl="7" w:tplc="2C0A0003" w:tentative="1">
      <w:start w:val="1"/>
      <w:numFmt w:val="bullet"/>
      <w:lvlText w:val="o"/>
      <w:lvlJc w:val="left"/>
      <w:pPr>
        <w:ind w:left="6324" w:hanging="360"/>
      </w:pPr>
      <w:rPr>
        <w:rFonts w:ascii="Courier New" w:hAnsi="Courier New" w:cs="Courier New" w:hint="default"/>
      </w:rPr>
    </w:lvl>
    <w:lvl w:ilvl="8" w:tplc="2C0A0005" w:tentative="1">
      <w:start w:val="1"/>
      <w:numFmt w:val="bullet"/>
      <w:lvlText w:val=""/>
      <w:lvlJc w:val="left"/>
      <w:pPr>
        <w:ind w:left="7044" w:hanging="360"/>
      </w:pPr>
      <w:rPr>
        <w:rFonts w:ascii="Wingdings" w:hAnsi="Wingdings" w:hint="default"/>
      </w:rPr>
    </w:lvl>
  </w:abstractNum>
  <w:abstractNum w:abstractNumId="37">
    <w:nsid w:val="3575088B"/>
    <w:multiLevelType w:val="hybridMultilevel"/>
    <w:tmpl w:val="405A137A"/>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3800239B"/>
    <w:multiLevelType w:val="hybridMultilevel"/>
    <w:tmpl w:val="47A628A8"/>
    <w:lvl w:ilvl="0" w:tplc="0C0A0001">
      <w:start w:val="1"/>
      <w:numFmt w:val="bullet"/>
      <w:lvlText w:val=""/>
      <w:lvlJc w:val="left"/>
      <w:pPr>
        <w:tabs>
          <w:tab w:val="num" w:pos="1080"/>
        </w:tabs>
        <w:ind w:left="1080" w:hanging="360"/>
      </w:pPr>
      <w:rPr>
        <w:rFonts w:ascii="Symbol" w:hAnsi="Symbol" w:hint="default"/>
      </w:rPr>
    </w:lvl>
    <w:lvl w:ilvl="1" w:tplc="0C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3915236E"/>
    <w:multiLevelType w:val="hybridMultilevel"/>
    <w:tmpl w:val="E6CEFED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0">
    <w:nsid w:val="3965126D"/>
    <w:multiLevelType w:val="hybridMultilevel"/>
    <w:tmpl w:val="EA50BE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3A603361"/>
    <w:multiLevelType w:val="hybridMultilevel"/>
    <w:tmpl w:val="B6149CB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3D5F1E81"/>
    <w:multiLevelType w:val="hybridMultilevel"/>
    <w:tmpl w:val="35FC4DA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3DDA1781"/>
    <w:multiLevelType w:val="hybridMultilevel"/>
    <w:tmpl w:val="B20058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3DF34DC9"/>
    <w:multiLevelType w:val="hybridMultilevel"/>
    <w:tmpl w:val="2F0A186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5">
    <w:nsid w:val="3E80679F"/>
    <w:multiLevelType w:val="hybridMultilevel"/>
    <w:tmpl w:val="444EFA4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nsid w:val="3F3B7493"/>
    <w:multiLevelType w:val="hybridMultilevel"/>
    <w:tmpl w:val="E8F6CF1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nsid w:val="3FEA2800"/>
    <w:multiLevelType w:val="hybridMultilevel"/>
    <w:tmpl w:val="165297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nsid w:val="42323B8C"/>
    <w:multiLevelType w:val="hybridMultilevel"/>
    <w:tmpl w:val="1A9C48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nsid w:val="43596870"/>
    <w:multiLevelType w:val="hybridMultilevel"/>
    <w:tmpl w:val="5E8A3532"/>
    <w:lvl w:ilvl="0" w:tplc="0C0A0001">
      <w:start w:val="1"/>
      <w:numFmt w:val="bullet"/>
      <w:lvlText w:val=""/>
      <w:lvlJc w:val="left"/>
      <w:pPr>
        <w:ind w:left="1815"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0">
    <w:nsid w:val="45CE3C5C"/>
    <w:multiLevelType w:val="hybridMultilevel"/>
    <w:tmpl w:val="887EC8E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1">
    <w:nsid w:val="467259D1"/>
    <w:multiLevelType w:val="hybridMultilevel"/>
    <w:tmpl w:val="7B6200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49F62791"/>
    <w:multiLevelType w:val="hybridMultilevel"/>
    <w:tmpl w:val="3B7C8A36"/>
    <w:lvl w:ilvl="0" w:tplc="35BA6C00">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3">
    <w:nsid w:val="4B5B13FB"/>
    <w:multiLevelType w:val="hybridMultilevel"/>
    <w:tmpl w:val="F81AC8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4">
    <w:nsid w:val="4E282371"/>
    <w:multiLevelType w:val="hybridMultilevel"/>
    <w:tmpl w:val="7D62813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4F801C89"/>
    <w:multiLevelType w:val="hybridMultilevel"/>
    <w:tmpl w:val="6C58FE7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6">
    <w:nsid w:val="51B55C9F"/>
    <w:multiLevelType w:val="hybridMultilevel"/>
    <w:tmpl w:val="176C07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52164A82"/>
    <w:multiLevelType w:val="hybridMultilevel"/>
    <w:tmpl w:val="2DE04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4E51BC2"/>
    <w:multiLevelType w:val="hybridMultilevel"/>
    <w:tmpl w:val="4884664A"/>
    <w:lvl w:ilvl="0" w:tplc="0C0A0001">
      <w:start w:val="1"/>
      <w:numFmt w:val="bullet"/>
      <w:lvlText w:val=""/>
      <w:lvlJc w:val="left"/>
      <w:pPr>
        <w:tabs>
          <w:tab w:val="num" w:pos="1160"/>
        </w:tabs>
        <w:ind w:left="1160" w:hanging="360"/>
      </w:pPr>
      <w:rPr>
        <w:rFonts w:ascii="Symbol" w:hAnsi="Symbol" w:hint="default"/>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59">
    <w:nsid w:val="56D607F7"/>
    <w:multiLevelType w:val="hybridMultilevel"/>
    <w:tmpl w:val="111241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0">
    <w:nsid w:val="57895F6A"/>
    <w:multiLevelType w:val="hybridMultilevel"/>
    <w:tmpl w:val="E1DC41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1">
    <w:nsid w:val="5A193544"/>
    <w:multiLevelType w:val="hybridMultilevel"/>
    <w:tmpl w:val="ACD84A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2">
    <w:nsid w:val="5B616AC5"/>
    <w:multiLevelType w:val="hybridMultilevel"/>
    <w:tmpl w:val="C77EE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0BA7977"/>
    <w:multiLevelType w:val="hybridMultilevel"/>
    <w:tmpl w:val="2B70D5B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4">
    <w:nsid w:val="61775BC3"/>
    <w:multiLevelType w:val="hybridMultilevel"/>
    <w:tmpl w:val="2F4E2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1A37D38"/>
    <w:multiLevelType w:val="hybridMultilevel"/>
    <w:tmpl w:val="9CF4ECE6"/>
    <w:lvl w:ilvl="0" w:tplc="0C0A000D">
      <w:start w:val="1"/>
      <w:numFmt w:val="bullet"/>
      <w:lvlText w:val=""/>
      <w:lvlJc w:val="left"/>
      <w:pPr>
        <w:ind w:left="2505" w:hanging="360"/>
      </w:pPr>
      <w:rPr>
        <w:rFonts w:ascii="Wingdings" w:hAnsi="Wingdings" w:hint="default"/>
      </w:rPr>
    </w:lvl>
    <w:lvl w:ilvl="1" w:tplc="0C0A0003" w:tentative="1">
      <w:start w:val="1"/>
      <w:numFmt w:val="bullet"/>
      <w:lvlText w:val="o"/>
      <w:lvlJc w:val="left"/>
      <w:pPr>
        <w:ind w:left="3225" w:hanging="360"/>
      </w:pPr>
      <w:rPr>
        <w:rFonts w:ascii="Courier New" w:hAnsi="Courier New" w:cs="Courier New" w:hint="default"/>
      </w:rPr>
    </w:lvl>
    <w:lvl w:ilvl="2" w:tplc="0C0A0005" w:tentative="1">
      <w:start w:val="1"/>
      <w:numFmt w:val="bullet"/>
      <w:lvlText w:val=""/>
      <w:lvlJc w:val="left"/>
      <w:pPr>
        <w:ind w:left="3945" w:hanging="360"/>
      </w:pPr>
      <w:rPr>
        <w:rFonts w:ascii="Wingdings" w:hAnsi="Wingdings" w:hint="default"/>
      </w:rPr>
    </w:lvl>
    <w:lvl w:ilvl="3" w:tplc="0C0A0001" w:tentative="1">
      <w:start w:val="1"/>
      <w:numFmt w:val="bullet"/>
      <w:lvlText w:val=""/>
      <w:lvlJc w:val="left"/>
      <w:pPr>
        <w:ind w:left="4665" w:hanging="360"/>
      </w:pPr>
      <w:rPr>
        <w:rFonts w:ascii="Symbol" w:hAnsi="Symbol" w:hint="default"/>
      </w:rPr>
    </w:lvl>
    <w:lvl w:ilvl="4" w:tplc="0C0A0003" w:tentative="1">
      <w:start w:val="1"/>
      <w:numFmt w:val="bullet"/>
      <w:lvlText w:val="o"/>
      <w:lvlJc w:val="left"/>
      <w:pPr>
        <w:ind w:left="5385" w:hanging="360"/>
      </w:pPr>
      <w:rPr>
        <w:rFonts w:ascii="Courier New" w:hAnsi="Courier New" w:cs="Courier New" w:hint="default"/>
      </w:rPr>
    </w:lvl>
    <w:lvl w:ilvl="5" w:tplc="0C0A0005" w:tentative="1">
      <w:start w:val="1"/>
      <w:numFmt w:val="bullet"/>
      <w:lvlText w:val=""/>
      <w:lvlJc w:val="left"/>
      <w:pPr>
        <w:ind w:left="6105" w:hanging="360"/>
      </w:pPr>
      <w:rPr>
        <w:rFonts w:ascii="Wingdings" w:hAnsi="Wingdings" w:hint="default"/>
      </w:rPr>
    </w:lvl>
    <w:lvl w:ilvl="6" w:tplc="0C0A0001" w:tentative="1">
      <w:start w:val="1"/>
      <w:numFmt w:val="bullet"/>
      <w:lvlText w:val=""/>
      <w:lvlJc w:val="left"/>
      <w:pPr>
        <w:ind w:left="6825" w:hanging="360"/>
      </w:pPr>
      <w:rPr>
        <w:rFonts w:ascii="Symbol" w:hAnsi="Symbol" w:hint="default"/>
      </w:rPr>
    </w:lvl>
    <w:lvl w:ilvl="7" w:tplc="0C0A0003" w:tentative="1">
      <w:start w:val="1"/>
      <w:numFmt w:val="bullet"/>
      <w:lvlText w:val="o"/>
      <w:lvlJc w:val="left"/>
      <w:pPr>
        <w:ind w:left="7545" w:hanging="360"/>
      </w:pPr>
      <w:rPr>
        <w:rFonts w:ascii="Courier New" w:hAnsi="Courier New" w:cs="Courier New" w:hint="default"/>
      </w:rPr>
    </w:lvl>
    <w:lvl w:ilvl="8" w:tplc="0C0A0005" w:tentative="1">
      <w:start w:val="1"/>
      <w:numFmt w:val="bullet"/>
      <w:lvlText w:val=""/>
      <w:lvlJc w:val="left"/>
      <w:pPr>
        <w:ind w:left="8265" w:hanging="360"/>
      </w:pPr>
      <w:rPr>
        <w:rFonts w:ascii="Wingdings" w:hAnsi="Wingdings" w:hint="default"/>
      </w:rPr>
    </w:lvl>
  </w:abstractNum>
  <w:abstractNum w:abstractNumId="66">
    <w:nsid w:val="64821CA4"/>
    <w:multiLevelType w:val="hybridMultilevel"/>
    <w:tmpl w:val="022CB8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7">
    <w:nsid w:val="6538663F"/>
    <w:multiLevelType w:val="hybridMultilevel"/>
    <w:tmpl w:val="16028C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8">
    <w:nsid w:val="66244345"/>
    <w:multiLevelType w:val="hybridMultilevel"/>
    <w:tmpl w:val="2124CD2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9">
    <w:nsid w:val="667D1E48"/>
    <w:multiLevelType w:val="hybridMultilevel"/>
    <w:tmpl w:val="BA8C26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0">
    <w:nsid w:val="686D65DA"/>
    <w:multiLevelType w:val="hybridMultilevel"/>
    <w:tmpl w:val="EBE2D2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68F956BA"/>
    <w:multiLevelType w:val="hybridMultilevel"/>
    <w:tmpl w:val="AB64B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AF1714F"/>
    <w:multiLevelType w:val="hybridMultilevel"/>
    <w:tmpl w:val="CF94D56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3">
    <w:nsid w:val="6C9D21B2"/>
    <w:multiLevelType w:val="hybridMultilevel"/>
    <w:tmpl w:val="F342C3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4">
    <w:nsid w:val="6F293734"/>
    <w:multiLevelType w:val="hybridMultilevel"/>
    <w:tmpl w:val="1E284D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5">
    <w:nsid w:val="708A38D1"/>
    <w:multiLevelType w:val="hybridMultilevel"/>
    <w:tmpl w:val="74926CC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6">
    <w:nsid w:val="71162A3C"/>
    <w:multiLevelType w:val="hybridMultilevel"/>
    <w:tmpl w:val="77CA0E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7">
    <w:nsid w:val="7277072B"/>
    <w:multiLevelType w:val="hybridMultilevel"/>
    <w:tmpl w:val="3F0070A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8">
    <w:nsid w:val="72A32637"/>
    <w:multiLevelType w:val="hybridMultilevel"/>
    <w:tmpl w:val="9E9C662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9">
    <w:nsid w:val="735007ED"/>
    <w:multiLevelType w:val="hybridMultilevel"/>
    <w:tmpl w:val="EDEADA82"/>
    <w:lvl w:ilvl="0" w:tplc="0C0A0001">
      <w:start w:val="1"/>
      <w:numFmt w:val="bullet"/>
      <w:lvlText w:val=""/>
      <w:lvlJc w:val="left"/>
      <w:pPr>
        <w:tabs>
          <w:tab w:val="num" w:pos="1160"/>
        </w:tabs>
        <w:ind w:left="1160" w:hanging="360"/>
      </w:pPr>
      <w:rPr>
        <w:rFonts w:ascii="Symbol" w:hAnsi="Symbol" w:hint="default"/>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80">
    <w:nsid w:val="77733B3B"/>
    <w:multiLevelType w:val="hybridMultilevel"/>
    <w:tmpl w:val="AE3479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1">
    <w:nsid w:val="7B356D35"/>
    <w:multiLevelType w:val="hybridMultilevel"/>
    <w:tmpl w:val="1FC8C2E4"/>
    <w:lvl w:ilvl="0" w:tplc="0C0A0001">
      <w:start w:val="1"/>
      <w:numFmt w:val="bullet"/>
      <w:lvlText w:val=""/>
      <w:lvlJc w:val="left"/>
      <w:pPr>
        <w:tabs>
          <w:tab w:val="num" w:pos="1160"/>
        </w:tabs>
        <w:ind w:left="1160" w:hanging="360"/>
      </w:pPr>
      <w:rPr>
        <w:rFonts w:ascii="Symbol" w:hAnsi="Symbol" w:hint="default"/>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82">
    <w:nsid w:val="7CA87D3D"/>
    <w:multiLevelType w:val="hybridMultilevel"/>
    <w:tmpl w:val="F3C6A2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3">
    <w:nsid w:val="7D0F040B"/>
    <w:multiLevelType w:val="hybridMultilevel"/>
    <w:tmpl w:val="D95C573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4">
    <w:nsid w:val="7EEC0397"/>
    <w:multiLevelType w:val="hybridMultilevel"/>
    <w:tmpl w:val="D800F548"/>
    <w:lvl w:ilvl="0" w:tplc="0C0A0015">
      <w:start w:val="1"/>
      <w:numFmt w:val="upp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5">
    <w:nsid w:val="7FB76593"/>
    <w:multiLevelType w:val="hybridMultilevel"/>
    <w:tmpl w:val="E9D8AD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5"/>
  </w:num>
  <w:num w:numId="3">
    <w:abstractNumId w:val="65"/>
  </w:num>
  <w:num w:numId="4">
    <w:abstractNumId w:val="63"/>
  </w:num>
  <w:num w:numId="5">
    <w:abstractNumId w:val="39"/>
  </w:num>
  <w:num w:numId="6">
    <w:abstractNumId w:val="48"/>
  </w:num>
  <w:num w:numId="7">
    <w:abstractNumId w:val="57"/>
  </w:num>
  <w:num w:numId="8">
    <w:abstractNumId w:val="64"/>
  </w:num>
  <w:num w:numId="9">
    <w:abstractNumId w:val="24"/>
  </w:num>
  <w:num w:numId="10">
    <w:abstractNumId w:val="9"/>
  </w:num>
  <w:num w:numId="11">
    <w:abstractNumId w:val="49"/>
  </w:num>
  <w:num w:numId="12">
    <w:abstractNumId w:val="62"/>
  </w:num>
  <w:num w:numId="13">
    <w:abstractNumId w:val="52"/>
  </w:num>
  <w:num w:numId="14">
    <w:abstractNumId w:val="30"/>
  </w:num>
  <w:num w:numId="15">
    <w:abstractNumId w:val="71"/>
  </w:num>
  <w:num w:numId="16">
    <w:abstractNumId w:val="70"/>
  </w:num>
  <w:num w:numId="17">
    <w:abstractNumId w:val="54"/>
  </w:num>
  <w:num w:numId="18">
    <w:abstractNumId w:val="83"/>
  </w:num>
  <w:num w:numId="19">
    <w:abstractNumId w:val="56"/>
  </w:num>
  <w:num w:numId="20">
    <w:abstractNumId w:val="81"/>
  </w:num>
  <w:num w:numId="21">
    <w:abstractNumId w:val="73"/>
  </w:num>
  <w:num w:numId="22">
    <w:abstractNumId w:val="1"/>
  </w:num>
  <w:num w:numId="23">
    <w:abstractNumId w:val="7"/>
  </w:num>
  <w:num w:numId="24">
    <w:abstractNumId w:val="55"/>
  </w:num>
  <w:num w:numId="25">
    <w:abstractNumId w:val="77"/>
  </w:num>
  <w:num w:numId="26">
    <w:abstractNumId w:val="3"/>
  </w:num>
  <w:num w:numId="27">
    <w:abstractNumId w:val="35"/>
  </w:num>
  <w:num w:numId="28">
    <w:abstractNumId w:val="45"/>
  </w:num>
  <w:num w:numId="29">
    <w:abstractNumId w:val="34"/>
  </w:num>
  <w:num w:numId="30">
    <w:abstractNumId w:val="82"/>
  </w:num>
  <w:num w:numId="31">
    <w:abstractNumId w:val="85"/>
  </w:num>
  <w:num w:numId="32">
    <w:abstractNumId w:val="41"/>
  </w:num>
  <w:num w:numId="33">
    <w:abstractNumId w:val="66"/>
  </w:num>
  <w:num w:numId="34">
    <w:abstractNumId w:val="46"/>
  </w:num>
  <w:num w:numId="35">
    <w:abstractNumId w:val="53"/>
  </w:num>
  <w:num w:numId="36">
    <w:abstractNumId w:val="20"/>
  </w:num>
  <w:num w:numId="37">
    <w:abstractNumId w:val="37"/>
  </w:num>
  <w:num w:numId="38">
    <w:abstractNumId w:val="26"/>
  </w:num>
  <w:num w:numId="39">
    <w:abstractNumId w:val="21"/>
  </w:num>
  <w:num w:numId="40">
    <w:abstractNumId w:val="75"/>
  </w:num>
  <w:num w:numId="41">
    <w:abstractNumId w:val="22"/>
  </w:num>
  <w:num w:numId="42">
    <w:abstractNumId w:val="43"/>
  </w:num>
  <w:num w:numId="43">
    <w:abstractNumId w:val="68"/>
  </w:num>
  <w:num w:numId="44">
    <w:abstractNumId w:val="16"/>
  </w:num>
  <w:num w:numId="45">
    <w:abstractNumId w:val="84"/>
  </w:num>
  <w:num w:numId="46">
    <w:abstractNumId w:val="19"/>
  </w:num>
  <w:num w:numId="47">
    <w:abstractNumId w:val="69"/>
  </w:num>
  <w:num w:numId="48">
    <w:abstractNumId w:val="18"/>
  </w:num>
  <w:num w:numId="49">
    <w:abstractNumId w:val="78"/>
  </w:num>
  <w:num w:numId="50">
    <w:abstractNumId w:val="15"/>
  </w:num>
  <w:num w:numId="51">
    <w:abstractNumId w:val="6"/>
  </w:num>
  <w:num w:numId="52">
    <w:abstractNumId w:val="42"/>
  </w:num>
  <w:num w:numId="53">
    <w:abstractNumId w:val="27"/>
  </w:num>
  <w:num w:numId="54">
    <w:abstractNumId w:val="11"/>
  </w:num>
  <w:num w:numId="55">
    <w:abstractNumId w:val="12"/>
  </w:num>
  <w:num w:numId="56">
    <w:abstractNumId w:val="61"/>
  </w:num>
  <w:num w:numId="57">
    <w:abstractNumId w:val="28"/>
  </w:num>
  <w:num w:numId="58">
    <w:abstractNumId w:val="72"/>
  </w:num>
  <w:num w:numId="59">
    <w:abstractNumId w:val="80"/>
  </w:num>
  <w:num w:numId="60">
    <w:abstractNumId w:val="8"/>
  </w:num>
  <w:num w:numId="61">
    <w:abstractNumId w:val="31"/>
  </w:num>
  <w:num w:numId="62">
    <w:abstractNumId w:val="4"/>
  </w:num>
  <w:num w:numId="63">
    <w:abstractNumId w:val="29"/>
  </w:num>
  <w:num w:numId="64">
    <w:abstractNumId w:val="60"/>
  </w:num>
  <w:num w:numId="65">
    <w:abstractNumId w:val="5"/>
  </w:num>
  <w:num w:numId="66">
    <w:abstractNumId w:val="74"/>
  </w:num>
  <w:num w:numId="67">
    <w:abstractNumId w:val="79"/>
  </w:num>
  <w:num w:numId="68">
    <w:abstractNumId w:val="58"/>
  </w:num>
  <w:num w:numId="69">
    <w:abstractNumId w:val="13"/>
  </w:num>
  <w:num w:numId="70">
    <w:abstractNumId w:val="32"/>
  </w:num>
  <w:num w:numId="71">
    <w:abstractNumId w:val="17"/>
  </w:num>
  <w:num w:numId="72">
    <w:abstractNumId w:val="59"/>
  </w:num>
  <w:num w:numId="73">
    <w:abstractNumId w:val="50"/>
  </w:num>
  <w:num w:numId="74">
    <w:abstractNumId w:val="40"/>
  </w:num>
  <w:num w:numId="75">
    <w:abstractNumId w:val="23"/>
  </w:num>
  <w:num w:numId="76">
    <w:abstractNumId w:val="2"/>
  </w:num>
  <w:num w:numId="77">
    <w:abstractNumId w:val="38"/>
  </w:num>
  <w:num w:numId="78">
    <w:abstractNumId w:val="14"/>
  </w:num>
  <w:num w:numId="79">
    <w:abstractNumId w:val="67"/>
  </w:num>
  <w:num w:numId="80">
    <w:abstractNumId w:val="51"/>
  </w:num>
  <w:num w:numId="81">
    <w:abstractNumId w:val="44"/>
  </w:num>
  <w:num w:numId="82">
    <w:abstractNumId w:val="33"/>
  </w:num>
  <w:num w:numId="83">
    <w:abstractNumId w:val="47"/>
  </w:num>
  <w:num w:numId="84">
    <w:abstractNumId w:val="76"/>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75"/>
    <w:rsid w:val="00000C2E"/>
    <w:rsid w:val="00002E9D"/>
    <w:rsid w:val="00003106"/>
    <w:rsid w:val="0000690A"/>
    <w:rsid w:val="00012E19"/>
    <w:rsid w:val="00017CFC"/>
    <w:rsid w:val="00020C50"/>
    <w:rsid w:val="000213E7"/>
    <w:rsid w:val="000217A8"/>
    <w:rsid w:val="0002330F"/>
    <w:rsid w:val="0002386C"/>
    <w:rsid w:val="00024CEA"/>
    <w:rsid w:val="00034EF5"/>
    <w:rsid w:val="00037D38"/>
    <w:rsid w:val="000443AB"/>
    <w:rsid w:val="00044E47"/>
    <w:rsid w:val="00056597"/>
    <w:rsid w:val="00060A6F"/>
    <w:rsid w:val="00066569"/>
    <w:rsid w:val="00066C0D"/>
    <w:rsid w:val="00071760"/>
    <w:rsid w:val="00076E86"/>
    <w:rsid w:val="00077663"/>
    <w:rsid w:val="00077A18"/>
    <w:rsid w:val="00080AE1"/>
    <w:rsid w:val="000857B4"/>
    <w:rsid w:val="00085806"/>
    <w:rsid w:val="00085DF2"/>
    <w:rsid w:val="000A4602"/>
    <w:rsid w:val="000A68D2"/>
    <w:rsid w:val="000A6B5D"/>
    <w:rsid w:val="000B0CDB"/>
    <w:rsid w:val="000B2F14"/>
    <w:rsid w:val="000B3591"/>
    <w:rsid w:val="000B3D95"/>
    <w:rsid w:val="000B4FEA"/>
    <w:rsid w:val="000B5A0D"/>
    <w:rsid w:val="000B69F0"/>
    <w:rsid w:val="000C12F6"/>
    <w:rsid w:val="000D0453"/>
    <w:rsid w:val="000D1016"/>
    <w:rsid w:val="000E642D"/>
    <w:rsid w:val="000F01BE"/>
    <w:rsid w:val="000F6831"/>
    <w:rsid w:val="001108DC"/>
    <w:rsid w:val="001214AA"/>
    <w:rsid w:val="00121600"/>
    <w:rsid w:val="00121B78"/>
    <w:rsid w:val="00122E05"/>
    <w:rsid w:val="00123338"/>
    <w:rsid w:val="0012336B"/>
    <w:rsid w:val="00124779"/>
    <w:rsid w:val="00124E26"/>
    <w:rsid w:val="00125009"/>
    <w:rsid w:val="00126AD8"/>
    <w:rsid w:val="0013217D"/>
    <w:rsid w:val="0013335F"/>
    <w:rsid w:val="00146B5E"/>
    <w:rsid w:val="001576D6"/>
    <w:rsid w:val="00157886"/>
    <w:rsid w:val="0016235F"/>
    <w:rsid w:val="00163A5E"/>
    <w:rsid w:val="001677FC"/>
    <w:rsid w:val="0017046F"/>
    <w:rsid w:val="00181E12"/>
    <w:rsid w:val="0018218B"/>
    <w:rsid w:val="001825A9"/>
    <w:rsid w:val="00183075"/>
    <w:rsid w:val="001840D6"/>
    <w:rsid w:val="00191082"/>
    <w:rsid w:val="001965A5"/>
    <w:rsid w:val="001A77E1"/>
    <w:rsid w:val="001B3733"/>
    <w:rsid w:val="001B722A"/>
    <w:rsid w:val="001C3088"/>
    <w:rsid w:val="001C5C6E"/>
    <w:rsid w:val="001D0EC4"/>
    <w:rsid w:val="001D5FF3"/>
    <w:rsid w:val="001D7A1B"/>
    <w:rsid w:val="001E75E7"/>
    <w:rsid w:val="001F1F5B"/>
    <w:rsid w:val="001F2FAE"/>
    <w:rsid w:val="001F6ABB"/>
    <w:rsid w:val="002100FB"/>
    <w:rsid w:val="00210523"/>
    <w:rsid w:val="002118E3"/>
    <w:rsid w:val="002144A1"/>
    <w:rsid w:val="00216E18"/>
    <w:rsid w:val="00217266"/>
    <w:rsid w:val="00224ADF"/>
    <w:rsid w:val="0023453A"/>
    <w:rsid w:val="0024245A"/>
    <w:rsid w:val="00244778"/>
    <w:rsid w:val="0025029C"/>
    <w:rsid w:val="0026028B"/>
    <w:rsid w:val="00261964"/>
    <w:rsid w:val="00263F30"/>
    <w:rsid w:val="002668FF"/>
    <w:rsid w:val="00267F3F"/>
    <w:rsid w:val="00273DDF"/>
    <w:rsid w:val="00275D43"/>
    <w:rsid w:val="00276D75"/>
    <w:rsid w:val="00280639"/>
    <w:rsid w:val="0028159E"/>
    <w:rsid w:val="00282462"/>
    <w:rsid w:val="002938C8"/>
    <w:rsid w:val="002944B2"/>
    <w:rsid w:val="002A5A9C"/>
    <w:rsid w:val="002B075F"/>
    <w:rsid w:val="002B3648"/>
    <w:rsid w:val="002B5725"/>
    <w:rsid w:val="002C1DC9"/>
    <w:rsid w:val="002C345E"/>
    <w:rsid w:val="002C6D01"/>
    <w:rsid w:val="002D0CF6"/>
    <w:rsid w:val="002D3521"/>
    <w:rsid w:val="002D4B87"/>
    <w:rsid w:val="002D612E"/>
    <w:rsid w:val="002E4448"/>
    <w:rsid w:val="002E5881"/>
    <w:rsid w:val="002F21AE"/>
    <w:rsid w:val="002F30B9"/>
    <w:rsid w:val="002F47E7"/>
    <w:rsid w:val="002F5C54"/>
    <w:rsid w:val="0030140E"/>
    <w:rsid w:val="003055E9"/>
    <w:rsid w:val="00306D47"/>
    <w:rsid w:val="0031091D"/>
    <w:rsid w:val="003128A4"/>
    <w:rsid w:val="003149C8"/>
    <w:rsid w:val="00322300"/>
    <w:rsid w:val="00324F5B"/>
    <w:rsid w:val="00326F9C"/>
    <w:rsid w:val="00332405"/>
    <w:rsid w:val="00333837"/>
    <w:rsid w:val="003345BA"/>
    <w:rsid w:val="00342DDB"/>
    <w:rsid w:val="00354FF7"/>
    <w:rsid w:val="003558D0"/>
    <w:rsid w:val="003634C2"/>
    <w:rsid w:val="00363605"/>
    <w:rsid w:val="00364CB7"/>
    <w:rsid w:val="00371A08"/>
    <w:rsid w:val="00372060"/>
    <w:rsid w:val="00373231"/>
    <w:rsid w:val="0037636A"/>
    <w:rsid w:val="00382C7B"/>
    <w:rsid w:val="00384A7B"/>
    <w:rsid w:val="003857F3"/>
    <w:rsid w:val="00394A78"/>
    <w:rsid w:val="00396EBC"/>
    <w:rsid w:val="003A42F3"/>
    <w:rsid w:val="003B1EC6"/>
    <w:rsid w:val="003B42AD"/>
    <w:rsid w:val="003B4A84"/>
    <w:rsid w:val="003C387A"/>
    <w:rsid w:val="003C47D0"/>
    <w:rsid w:val="003C4B7F"/>
    <w:rsid w:val="003C66D0"/>
    <w:rsid w:val="003C68CA"/>
    <w:rsid w:val="003D1140"/>
    <w:rsid w:val="003D2229"/>
    <w:rsid w:val="003D483A"/>
    <w:rsid w:val="003D5709"/>
    <w:rsid w:val="003F1B77"/>
    <w:rsid w:val="003F1DD7"/>
    <w:rsid w:val="003F4A09"/>
    <w:rsid w:val="00400281"/>
    <w:rsid w:val="004060FE"/>
    <w:rsid w:val="004108D6"/>
    <w:rsid w:val="00410946"/>
    <w:rsid w:val="00413C2B"/>
    <w:rsid w:val="004251DA"/>
    <w:rsid w:val="0043048F"/>
    <w:rsid w:val="004368CA"/>
    <w:rsid w:val="00451269"/>
    <w:rsid w:val="00453F85"/>
    <w:rsid w:val="004561B5"/>
    <w:rsid w:val="00457F22"/>
    <w:rsid w:val="004667F3"/>
    <w:rsid w:val="004719F0"/>
    <w:rsid w:val="004728F8"/>
    <w:rsid w:val="00474AA7"/>
    <w:rsid w:val="00480B8B"/>
    <w:rsid w:val="004839BA"/>
    <w:rsid w:val="00485777"/>
    <w:rsid w:val="004930D8"/>
    <w:rsid w:val="004A0C12"/>
    <w:rsid w:val="004B795C"/>
    <w:rsid w:val="004C042F"/>
    <w:rsid w:val="004C11D9"/>
    <w:rsid w:val="004C3479"/>
    <w:rsid w:val="004D3FDA"/>
    <w:rsid w:val="004D5823"/>
    <w:rsid w:val="004D71C7"/>
    <w:rsid w:val="004E1F10"/>
    <w:rsid w:val="004E5522"/>
    <w:rsid w:val="004F0BDB"/>
    <w:rsid w:val="00503DC9"/>
    <w:rsid w:val="005072C0"/>
    <w:rsid w:val="005104F6"/>
    <w:rsid w:val="00510B65"/>
    <w:rsid w:val="005205E6"/>
    <w:rsid w:val="0052135C"/>
    <w:rsid w:val="005242C3"/>
    <w:rsid w:val="00524604"/>
    <w:rsid w:val="00527C09"/>
    <w:rsid w:val="0053192A"/>
    <w:rsid w:val="0053489E"/>
    <w:rsid w:val="00541148"/>
    <w:rsid w:val="00551F78"/>
    <w:rsid w:val="00557D2B"/>
    <w:rsid w:val="00562B4E"/>
    <w:rsid w:val="005653D6"/>
    <w:rsid w:val="005677D9"/>
    <w:rsid w:val="00576519"/>
    <w:rsid w:val="00581CDD"/>
    <w:rsid w:val="00583A12"/>
    <w:rsid w:val="00584535"/>
    <w:rsid w:val="005854ED"/>
    <w:rsid w:val="005A1E32"/>
    <w:rsid w:val="005A2FBC"/>
    <w:rsid w:val="005A3F43"/>
    <w:rsid w:val="005A466E"/>
    <w:rsid w:val="005A4D75"/>
    <w:rsid w:val="005A5606"/>
    <w:rsid w:val="005B40C7"/>
    <w:rsid w:val="005C5D36"/>
    <w:rsid w:val="005C63AC"/>
    <w:rsid w:val="005C67A5"/>
    <w:rsid w:val="005C6C52"/>
    <w:rsid w:val="005D29D4"/>
    <w:rsid w:val="005D41F0"/>
    <w:rsid w:val="005D4A92"/>
    <w:rsid w:val="005D739F"/>
    <w:rsid w:val="005E65AF"/>
    <w:rsid w:val="005E7014"/>
    <w:rsid w:val="005F0FE3"/>
    <w:rsid w:val="005F7D8F"/>
    <w:rsid w:val="005F7FB0"/>
    <w:rsid w:val="0060356E"/>
    <w:rsid w:val="00605A54"/>
    <w:rsid w:val="006075DE"/>
    <w:rsid w:val="00621201"/>
    <w:rsid w:val="0062377F"/>
    <w:rsid w:val="00632959"/>
    <w:rsid w:val="00633CA3"/>
    <w:rsid w:val="0063584F"/>
    <w:rsid w:val="006416AB"/>
    <w:rsid w:val="00641FEC"/>
    <w:rsid w:val="00646036"/>
    <w:rsid w:val="00647790"/>
    <w:rsid w:val="00657BC6"/>
    <w:rsid w:val="006745B0"/>
    <w:rsid w:val="00677EA9"/>
    <w:rsid w:val="006944D7"/>
    <w:rsid w:val="00697123"/>
    <w:rsid w:val="006A12C2"/>
    <w:rsid w:val="006A5E31"/>
    <w:rsid w:val="006B2756"/>
    <w:rsid w:val="006C16EA"/>
    <w:rsid w:val="006C37E0"/>
    <w:rsid w:val="006C3EBF"/>
    <w:rsid w:val="006C4643"/>
    <w:rsid w:val="006D2311"/>
    <w:rsid w:val="006D331D"/>
    <w:rsid w:val="006F0304"/>
    <w:rsid w:val="007017ED"/>
    <w:rsid w:val="00702583"/>
    <w:rsid w:val="00704718"/>
    <w:rsid w:val="00714D68"/>
    <w:rsid w:val="00717BE0"/>
    <w:rsid w:val="00721B2B"/>
    <w:rsid w:val="00723E45"/>
    <w:rsid w:val="00737917"/>
    <w:rsid w:val="00740057"/>
    <w:rsid w:val="007456AA"/>
    <w:rsid w:val="00751C7C"/>
    <w:rsid w:val="007532A6"/>
    <w:rsid w:val="00766A30"/>
    <w:rsid w:val="0077151F"/>
    <w:rsid w:val="007719AD"/>
    <w:rsid w:val="00771E0B"/>
    <w:rsid w:val="00772BEF"/>
    <w:rsid w:val="00773995"/>
    <w:rsid w:val="0077605E"/>
    <w:rsid w:val="00782F43"/>
    <w:rsid w:val="00791893"/>
    <w:rsid w:val="007957BC"/>
    <w:rsid w:val="007A2B98"/>
    <w:rsid w:val="007B0905"/>
    <w:rsid w:val="007B1331"/>
    <w:rsid w:val="007B205D"/>
    <w:rsid w:val="007B4E55"/>
    <w:rsid w:val="007B5A01"/>
    <w:rsid w:val="007D35FB"/>
    <w:rsid w:val="007D64A6"/>
    <w:rsid w:val="007E24FB"/>
    <w:rsid w:val="007F7624"/>
    <w:rsid w:val="008060F4"/>
    <w:rsid w:val="00807E99"/>
    <w:rsid w:val="00812D4E"/>
    <w:rsid w:val="00826309"/>
    <w:rsid w:val="00835C90"/>
    <w:rsid w:val="00837D8A"/>
    <w:rsid w:val="00843B04"/>
    <w:rsid w:val="008444F2"/>
    <w:rsid w:val="00853EE9"/>
    <w:rsid w:val="00860F83"/>
    <w:rsid w:val="00861889"/>
    <w:rsid w:val="0086208B"/>
    <w:rsid w:val="00862E8F"/>
    <w:rsid w:val="008632C9"/>
    <w:rsid w:val="00864BA9"/>
    <w:rsid w:val="0086500F"/>
    <w:rsid w:val="00875963"/>
    <w:rsid w:val="008876A6"/>
    <w:rsid w:val="0089061B"/>
    <w:rsid w:val="00891B0A"/>
    <w:rsid w:val="00891EE1"/>
    <w:rsid w:val="00895FDC"/>
    <w:rsid w:val="008A0ACF"/>
    <w:rsid w:val="008A381C"/>
    <w:rsid w:val="008B0921"/>
    <w:rsid w:val="008B196F"/>
    <w:rsid w:val="008B4749"/>
    <w:rsid w:val="008B4E01"/>
    <w:rsid w:val="008B6065"/>
    <w:rsid w:val="008B79F7"/>
    <w:rsid w:val="008C18A5"/>
    <w:rsid w:val="008D227B"/>
    <w:rsid w:val="008D230A"/>
    <w:rsid w:val="008D2C43"/>
    <w:rsid w:val="008E0F75"/>
    <w:rsid w:val="008E7F0E"/>
    <w:rsid w:val="00901F4C"/>
    <w:rsid w:val="00905E75"/>
    <w:rsid w:val="009169FB"/>
    <w:rsid w:val="0092495A"/>
    <w:rsid w:val="00926623"/>
    <w:rsid w:val="00926EAE"/>
    <w:rsid w:val="00930D89"/>
    <w:rsid w:val="00937EC5"/>
    <w:rsid w:val="00941B9D"/>
    <w:rsid w:val="00941EC9"/>
    <w:rsid w:val="009445CD"/>
    <w:rsid w:val="00945281"/>
    <w:rsid w:val="009458FE"/>
    <w:rsid w:val="0094609B"/>
    <w:rsid w:val="00953521"/>
    <w:rsid w:val="009548BF"/>
    <w:rsid w:val="00961931"/>
    <w:rsid w:val="009623F2"/>
    <w:rsid w:val="0096346C"/>
    <w:rsid w:val="00973F00"/>
    <w:rsid w:val="00980EC5"/>
    <w:rsid w:val="00980F47"/>
    <w:rsid w:val="00981A4F"/>
    <w:rsid w:val="00987048"/>
    <w:rsid w:val="009870CA"/>
    <w:rsid w:val="00994A98"/>
    <w:rsid w:val="009955D8"/>
    <w:rsid w:val="009A0530"/>
    <w:rsid w:val="009A4B1C"/>
    <w:rsid w:val="009A5A21"/>
    <w:rsid w:val="009A766E"/>
    <w:rsid w:val="009B19A9"/>
    <w:rsid w:val="009B2827"/>
    <w:rsid w:val="009B5CAE"/>
    <w:rsid w:val="009C0627"/>
    <w:rsid w:val="009C333E"/>
    <w:rsid w:val="009C5179"/>
    <w:rsid w:val="009C6534"/>
    <w:rsid w:val="009C714A"/>
    <w:rsid w:val="009D2A33"/>
    <w:rsid w:val="009D3D1F"/>
    <w:rsid w:val="009D3F45"/>
    <w:rsid w:val="009D7E24"/>
    <w:rsid w:val="009E20B1"/>
    <w:rsid w:val="009E2E93"/>
    <w:rsid w:val="009E5E60"/>
    <w:rsid w:val="009F1EA0"/>
    <w:rsid w:val="009F36E9"/>
    <w:rsid w:val="009F6F52"/>
    <w:rsid w:val="00A0030C"/>
    <w:rsid w:val="00A01B23"/>
    <w:rsid w:val="00A07598"/>
    <w:rsid w:val="00A113D1"/>
    <w:rsid w:val="00A12D4D"/>
    <w:rsid w:val="00A13930"/>
    <w:rsid w:val="00A13F3E"/>
    <w:rsid w:val="00A15AB0"/>
    <w:rsid w:val="00A16222"/>
    <w:rsid w:val="00A16C06"/>
    <w:rsid w:val="00A20275"/>
    <w:rsid w:val="00A25CFD"/>
    <w:rsid w:val="00A27BB4"/>
    <w:rsid w:val="00A31C53"/>
    <w:rsid w:val="00A349DE"/>
    <w:rsid w:val="00A36090"/>
    <w:rsid w:val="00A374DF"/>
    <w:rsid w:val="00A402DD"/>
    <w:rsid w:val="00A507AC"/>
    <w:rsid w:val="00A52AFB"/>
    <w:rsid w:val="00A53C81"/>
    <w:rsid w:val="00A54347"/>
    <w:rsid w:val="00A555C1"/>
    <w:rsid w:val="00A57BA8"/>
    <w:rsid w:val="00A61AED"/>
    <w:rsid w:val="00A62E55"/>
    <w:rsid w:val="00A778A0"/>
    <w:rsid w:val="00A77B9E"/>
    <w:rsid w:val="00A77CEF"/>
    <w:rsid w:val="00A8434A"/>
    <w:rsid w:val="00A91A4E"/>
    <w:rsid w:val="00A91C2C"/>
    <w:rsid w:val="00A922BE"/>
    <w:rsid w:val="00A974C7"/>
    <w:rsid w:val="00AA6797"/>
    <w:rsid w:val="00AB2623"/>
    <w:rsid w:val="00AB674B"/>
    <w:rsid w:val="00AB7525"/>
    <w:rsid w:val="00AC22EC"/>
    <w:rsid w:val="00AC2CC1"/>
    <w:rsid w:val="00AC4969"/>
    <w:rsid w:val="00AC5D0A"/>
    <w:rsid w:val="00AE217B"/>
    <w:rsid w:val="00AE2856"/>
    <w:rsid w:val="00AF4136"/>
    <w:rsid w:val="00B06950"/>
    <w:rsid w:val="00B137B1"/>
    <w:rsid w:val="00B15D8B"/>
    <w:rsid w:val="00B17B3F"/>
    <w:rsid w:val="00B17B4F"/>
    <w:rsid w:val="00B22068"/>
    <w:rsid w:val="00B24D0E"/>
    <w:rsid w:val="00B24EDD"/>
    <w:rsid w:val="00B27BA3"/>
    <w:rsid w:val="00B334C0"/>
    <w:rsid w:val="00B33682"/>
    <w:rsid w:val="00B344BC"/>
    <w:rsid w:val="00B40BB8"/>
    <w:rsid w:val="00B4143A"/>
    <w:rsid w:val="00B44D33"/>
    <w:rsid w:val="00B56100"/>
    <w:rsid w:val="00B56F43"/>
    <w:rsid w:val="00B5759B"/>
    <w:rsid w:val="00B61FB1"/>
    <w:rsid w:val="00B62E52"/>
    <w:rsid w:val="00B63ED9"/>
    <w:rsid w:val="00B655E2"/>
    <w:rsid w:val="00B703F2"/>
    <w:rsid w:val="00B73450"/>
    <w:rsid w:val="00B75D98"/>
    <w:rsid w:val="00B83256"/>
    <w:rsid w:val="00B86D92"/>
    <w:rsid w:val="00B90A92"/>
    <w:rsid w:val="00B90C9A"/>
    <w:rsid w:val="00B94976"/>
    <w:rsid w:val="00B95C28"/>
    <w:rsid w:val="00B9614D"/>
    <w:rsid w:val="00B96FBB"/>
    <w:rsid w:val="00BB0CF6"/>
    <w:rsid w:val="00BB1B0D"/>
    <w:rsid w:val="00BB6C1D"/>
    <w:rsid w:val="00BC064C"/>
    <w:rsid w:val="00BC43B7"/>
    <w:rsid w:val="00BC4DF9"/>
    <w:rsid w:val="00BD07F6"/>
    <w:rsid w:val="00BD4CF1"/>
    <w:rsid w:val="00BF00B2"/>
    <w:rsid w:val="00BF4135"/>
    <w:rsid w:val="00C00EAE"/>
    <w:rsid w:val="00C023A2"/>
    <w:rsid w:val="00C0359F"/>
    <w:rsid w:val="00C04E58"/>
    <w:rsid w:val="00C06B48"/>
    <w:rsid w:val="00C07B56"/>
    <w:rsid w:val="00C144EE"/>
    <w:rsid w:val="00C17F97"/>
    <w:rsid w:val="00C219D2"/>
    <w:rsid w:val="00C40FE9"/>
    <w:rsid w:val="00C4609E"/>
    <w:rsid w:val="00C47DF6"/>
    <w:rsid w:val="00C50321"/>
    <w:rsid w:val="00C52AAD"/>
    <w:rsid w:val="00C537D9"/>
    <w:rsid w:val="00C6361A"/>
    <w:rsid w:val="00C71341"/>
    <w:rsid w:val="00C72000"/>
    <w:rsid w:val="00C840DA"/>
    <w:rsid w:val="00C864EB"/>
    <w:rsid w:val="00C92294"/>
    <w:rsid w:val="00C93DD5"/>
    <w:rsid w:val="00C94458"/>
    <w:rsid w:val="00C96233"/>
    <w:rsid w:val="00CA1977"/>
    <w:rsid w:val="00CA63FC"/>
    <w:rsid w:val="00CB0448"/>
    <w:rsid w:val="00CB5138"/>
    <w:rsid w:val="00CB742D"/>
    <w:rsid w:val="00CB797F"/>
    <w:rsid w:val="00CC1EB5"/>
    <w:rsid w:val="00CC6D1A"/>
    <w:rsid w:val="00CD4305"/>
    <w:rsid w:val="00CD5633"/>
    <w:rsid w:val="00CD5945"/>
    <w:rsid w:val="00CD6AD8"/>
    <w:rsid w:val="00CD7A6D"/>
    <w:rsid w:val="00CE71D0"/>
    <w:rsid w:val="00CF07DC"/>
    <w:rsid w:val="00CF1F0D"/>
    <w:rsid w:val="00CF3CBF"/>
    <w:rsid w:val="00D004B0"/>
    <w:rsid w:val="00D06EE2"/>
    <w:rsid w:val="00D169DE"/>
    <w:rsid w:val="00D17BBE"/>
    <w:rsid w:val="00D2117B"/>
    <w:rsid w:val="00D335DC"/>
    <w:rsid w:val="00D35DF3"/>
    <w:rsid w:val="00D4271E"/>
    <w:rsid w:val="00D43023"/>
    <w:rsid w:val="00D4368A"/>
    <w:rsid w:val="00D56E8D"/>
    <w:rsid w:val="00D60326"/>
    <w:rsid w:val="00D612E2"/>
    <w:rsid w:val="00D6176F"/>
    <w:rsid w:val="00D63C63"/>
    <w:rsid w:val="00D63DB5"/>
    <w:rsid w:val="00D7026B"/>
    <w:rsid w:val="00D72BA9"/>
    <w:rsid w:val="00D7350F"/>
    <w:rsid w:val="00D76EE1"/>
    <w:rsid w:val="00D817D0"/>
    <w:rsid w:val="00D90679"/>
    <w:rsid w:val="00D911AB"/>
    <w:rsid w:val="00D91EEB"/>
    <w:rsid w:val="00D93D4A"/>
    <w:rsid w:val="00D940CF"/>
    <w:rsid w:val="00D94645"/>
    <w:rsid w:val="00DA0061"/>
    <w:rsid w:val="00DA0F36"/>
    <w:rsid w:val="00DA3846"/>
    <w:rsid w:val="00DA6B0C"/>
    <w:rsid w:val="00DB074F"/>
    <w:rsid w:val="00DB2B24"/>
    <w:rsid w:val="00DD36E5"/>
    <w:rsid w:val="00DD5497"/>
    <w:rsid w:val="00DE23AB"/>
    <w:rsid w:val="00DE4AD3"/>
    <w:rsid w:val="00DF0B7D"/>
    <w:rsid w:val="00DF582F"/>
    <w:rsid w:val="00DF64D3"/>
    <w:rsid w:val="00DF74BF"/>
    <w:rsid w:val="00E00039"/>
    <w:rsid w:val="00E030CC"/>
    <w:rsid w:val="00E0587E"/>
    <w:rsid w:val="00E111ED"/>
    <w:rsid w:val="00E11CBD"/>
    <w:rsid w:val="00E16869"/>
    <w:rsid w:val="00E236CA"/>
    <w:rsid w:val="00E3220A"/>
    <w:rsid w:val="00E3613D"/>
    <w:rsid w:val="00E4237E"/>
    <w:rsid w:val="00E4366D"/>
    <w:rsid w:val="00E61716"/>
    <w:rsid w:val="00E63186"/>
    <w:rsid w:val="00E637F4"/>
    <w:rsid w:val="00E73FB0"/>
    <w:rsid w:val="00E7751D"/>
    <w:rsid w:val="00E80C7D"/>
    <w:rsid w:val="00E83F14"/>
    <w:rsid w:val="00E915FA"/>
    <w:rsid w:val="00E91608"/>
    <w:rsid w:val="00E921EA"/>
    <w:rsid w:val="00E92C15"/>
    <w:rsid w:val="00E9331D"/>
    <w:rsid w:val="00E93592"/>
    <w:rsid w:val="00EA1106"/>
    <w:rsid w:val="00EA450E"/>
    <w:rsid w:val="00EA6574"/>
    <w:rsid w:val="00EA6DC4"/>
    <w:rsid w:val="00EB1AB8"/>
    <w:rsid w:val="00EB7ACB"/>
    <w:rsid w:val="00EB7EBF"/>
    <w:rsid w:val="00EC088E"/>
    <w:rsid w:val="00EC2AE6"/>
    <w:rsid w:val="00EC4C9F"/>
    <w:rsid w:val="00ED6D30"/>
    <w:rsid w:val="00ED7C0D"/>
    <w:rsid w:val="00EE062E"/>
    <w:rsid w:val="00EE2FD4"/>
    <w:rsid w:val="00EF45E2"/>
    <w:rsid w:val="00EF6B9E"/>
    <w:rsid w:val="00F036E9"/>
    <w:rsid w:val="00F065D7"/>
    <w:rsid w:val="00F07C68"/>
    <w:rsid w:val="00F1003D"/>
    <w:rsid w:val="00F15E90"/>
    <w:rsid w:val="00F2021F"/>
    <w:rsid w:val="00F205A6"/>
    <w:rsid w:val="00F210CC"/>
    <w:rsid w:val="00F23FAC"/>
    <w:rsid w:val="00F356F4"/>
    <w:rsid w:val="00F37E6E"/>
    <w:rsid w:val="00F440B6"/>
    <w:rsid w:val="00F479A5"/>
    <w:rsid w:val="00F57074"/>
    <w:rsid w:val="00F57592"/>
    <w:rsid w:val="00F61C2D"/>
    <w:rsid w:val="00F641C6"/>
    <w:rsid w:val="00F659D2"/>
    <w:rsid w:val="00F66549"/>
    <w:rsid w:val="00F70905"/>
    <w:rsid w:val="00F7159E"/>
    <w:rsid w:val="00F727A5"/>
    <w:rsid w:val="00F73366"/>
    <w:rsid w:val="00F759EA"/>
    <w:rsid w:val="00F830B0"/>
    <w:rsid w:val="00F831FB"/>
    <w:rsid w:val="00F9050B"/>
    <w:rsid w:val="00F91233"/>
    <w:rsid w:val="00F92270"/>
    <w:rsid w:val="00F92F4E"/>
    <w:rsid w:val="00F94B56"/>
    <w:rsid w:val="00F95462"/>
    <w:rsid w:val="00F954BA"/>
    <w:rsid w:val="00FA041D"/>
    <w:rsid w:val="00FA0A28"/>
    <w:rsid w:val="00FA0F7F"/>
    <w:rsid w:val="00FA4AA1"/>
    <w:rsid w:val="00FA653E"/>
    <w:rsid w:val="00FA6D64"/>
    <w:rsid w:val="00FB044F"/>
    <w:rsid w:val="00FB312C"/>
    <w:rsid w:val="00FB49C4"/>
    <w:rsid w:val="00FC2431"/>
    <w:rsid w:val="00FC2ECB"/>
    <w:rsid w:val="00FC43D7"/>
    <w:rsid w:val="00FC4B08"/>
    <w:rsid w:val="00FC57FE"/>
    <w:rsid w:val="00FD2EF2"/>
    <w:rsid w:val="00FD5323"/>
    <w:rsid w:val="00FD7102"/>
    <w:rsid w:val="00FE3CF3"/>
    <w:rsid w:val="00FE4E10"/>
    <w:rsid w:val="00FE5F72"/>
    <w:rsid w:val="00FF0991"/>
    <w:rsid w:val="00FF4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87A"/>
    <w:pPr>
      <w:ind w:left="720"/>
      <w:contextualSpacing/>
    </w:pPr>
  </w:style>
  <w:style w:type="character" w:styleId="Hipervnculo">
    <w:name w:val="Hyperlink"/>
    <w:basedOn w:val="Fuentedeprrafopredeter"/>
    <w:uiPriority w:val="99"/>
    <w:unhideWhenUsed/>
    <w:rsid w:val="00EA6574"/>
    <w:rPr>
      <w:color w:val="0563C1" w:themeColor="hyperlink"/>
      <w:u w:val="single"/>
    </w:rPr>
  </w:style>
  <w:style w:type="character" w:customStyle="1" w:styleId="UnresolvedMention">
    <w:name w:val="Unresolved Mention"/>
    <w:basedOn w:val="Fuentedeprrafopredeter"/>
    <w:uiPriority w:val="99"/>
    <w:semiHidden/>
    <w:unhideWhenUsed/>
    <w:rsid w:val="00EA6574"/>
    <w:rPr>
      <w:color w:val="605E5C"/>
      <w:shd w:val="clear" w:color="auto" w:fill="E1DFDD"/>
    </w:rPr>
  </w:style>
  <w:style w:type="paragraph" w:styleId="Encabezado">
    <w:name w:val="header"/>
    <w:basedOn w:val="Normal"/>
    <w:link w:val="EncabezadoCar"/>
    <w:uiPriority w:val="99"/>
    <w:unhideWhenUsed/>
    <w:rsid w:val="00C219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9D2"/>
  </w:style>
  <w:style w:type="paragraph" w:styleId="Piedepgina">
    <w:name w:val="footer"/>
    <w:basedOn w:val="Normal"/>
    <w:link w:val="PiedepginaCar"/>
    <w:uiPriority w:val="99"/>
    <w:unhideWhenUsed/>
    <w:rsid w:val="00C219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9D2"/>
  </w:style>
  <w:style w:type="table" w:styleId="Tablaconcuadrcula">
    <w:name w:val="Table Grid"/>
    <w:basedOn w:val="Tablanormal"/>
    <w:rsid w:val="001E75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62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3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521"/>
    <w:rPr>
      <w:rFonts w:ascii="Segoe UI" w:hAnsi="Segoe UI" w:cs="Segoe UI"/>
      <w:sz w:val="18"/>
      <w:szCs w:val="18"/>
    </w:rPr>
  </w:style>
  <w:style w:type="paragraph" w:styleId="Textosinformato">
    <w:name w:val="Plain Text"/>
    <w:basedOn w:val="Normal"/>
    <w:link w:val="TextosinformatoCar"/>
    <w:rsid w:val="00875963"/>
    <w:pPr>
      <w:spacing w:after="0" w:line="240" w:lineRule="auto"/>
    </w:pPr>
    <w:rPr>
      <w:rFonts w:ascii="Courier New" w:eastAsia="Times New Roman" w:hAnsi="Courier New" w:cs="Courier New"/>
      <w:b/>
      <w:sz w:val="20"/>
      <w:szCs w:val="20"/>
      <w:lang w:val="es-AR" w:eastAsia="es-ES"/>
    </w:rPr>
  </w:style>
  <w:style w:type="character" w:customStyle="1" w:styleId="TextosinformatoCar">
    <w:name w:val="Texto sin formato Car"/>
    <w:basedOn w:val="Fuentedeprrafopredeter"/>
    <w:link w:val="Textosinformato"/>
    <w:rsid w:val="00875963"/>
    <w:rPr>
      <w:rFonts w:ascii="Courier New" w:eastAsia="Times New Roman" w:hAnsi="Courier New" w:cs="Courier New"/>
      <w:b/>
      <w:sz w:val="20"/>
      <w:szCs w:val="20"/>
      <w:lang w:val="es-AR" w:eastAsia="es-ES"/>
    </w:rPr>
  </w:style>
  <w:style w:type="paragraph" w:styleId="Textoindependiente">
    <w:name w:val="Body Text"/>
    <w:basedOn w:val="Normal"/>
    <w:link w:val="TextoindependienteCar"/>
    <w:rsid w:val="00875963"/>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Car">
    <w:name w:val="Texto independiente Car"/>
    <w:basedOn w:val="Fuentedeprrafopredeter"/>
    <w:link w:val="Textoindependiente"/>
    <w:rsid w:val="00875963"/>
    <w:rPr>
      <w:rFonts w:ascii="Arial" w:eastAsia="Times New Roman" w:hAnsi="Arial" w:cs="Times New Roman"/>
      <w:snapToGrid w:val="0"/>
      <w:sz w:val="24"/>
      <w:szCs w:val="20"/>
      <w:lang w:eastAsia="es-ES"/>
    </w:rPr>
  </w:style>
  <w:style w:type="paragraph" w:styleId="Sangra3detindependiente">
    <w:name w:val="Body Text Indent 3"/>
    <w:basedOn w:val="Normal"/>
    <w:link w:val="Sangra3detindependienteCar"/>
    <w:rsid w:val="00C144E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144EE"/>
    <w:rPr>
      <w:rFonts w:ascii="Times New Roman" w:eastAsia="Times New Roman" w:hAnsi="Times New Roman" w:cs="Times New Roman"/>
      <w:sz w:val="16"/>
      <w:szCs w:val="16"/>
      <w:lang w:eastAsia="es-ES"/>
    </w:rPr>
  </w:style>
  <w:style w:type="character" w:customStyle="1" w:styleId="textrevista1">
    <w:name w:val="text_revista1"/>
    <w:rsid w:val="00C144EE"/>
    <w:rPr>
      <w:rFonts w:ascii="Arial" w:hAnsi="Arial" w:cs="Arial" w:hint="default"/>
      <w:color w:val="666666"/>
      <w:sz w:val="18"/>
      <w:szCs w:val="18"/>
    </w:rPr>
  </w:style>
  <w:style w:type="paragraph" w:styleId="Textoindependiente3">
    <w:name w:val="Body Text 3"/>
    <w:basedOn w:val="Normal"/>
    <w:link w:val="Textoindependiente3Car"/>
    <w:rsid w:val="003558D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3558D0"/>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86208B"/>
    <w:pPr>
      <w:spacing w:after="120"/>
      <w:ind w:left="283"/>
    </w:pPr>
  </w:style>
  <w:style w:type="character" w:customStyle="1" w:styleId="SangradetextonormalCar">
    <w:name w:val="Sangría de texto normal Car"/>
    <w:basedOn w:val="Fuentedeprrafopredeter"/>
    <w:link w:val="Sangradetextonormal"/>
    <w:uiPriority w:val="99"/>
    <w:semiHidden/>
    <w:rsid w:val="0086208B"/>
  </w:style>
  <w:style w:type="paragraph" w:styleId="Sangra2detindependiente">
    <w:name w:val="Body Text Indent 2"/>
    <w:basedOn w:val="Normal"/>
    <w:link w:val="Sangra2detindependienteCar"/>
    <w:rsid w:val="00CC1EB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C1EB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87A"/>
    <w:pPr>
      <w:ind w:left="720"/>
      <w:contextualSpacing/>
    </w:pPr>
  </w:style>
  <w:style w:type="character" w:styleId="Hipervnculo">
    <w:name w:val="Hyperlink"/>
    <w:basedOn w:val="Fuentedeprrafopredeter"/>
    <w:uiPriority w:val="99"/>
    <w:unhideWhenUsed/>
    <w:rsid w:val="00EA6574"/>
    <w:rPr>
      <w:color w:val="0563C1" w:themeColor="hyperlink"/>
      <w:u w:val="single"/>
    </w:rPr>
  </w:style>
  <w:style w:type="character" w:customStyle="1" w:styleId="UnresolvedMention">
    <w:name w:val="Unresolved Mention"/>
    <w:basedOn w:val="Fuentedeprrafopredeter"/>
    <w:uiPriority w:val="99"/>
    <w:semiHidden/>
    <w:unhideWhenUsed/>
    <w:rsid w:val="00EA6574"/>
    <w:rPr>
      <w:color w:val="605E5C"/>
      <w:shd w:val="clear" w:color="auto" w:fill="E1DFDD"/>
    </w:rPr>
  </w:style>
  <w:style w:type="paragraph" w:styleId="Encabezado">
    <w:name w:val="header"/>
    <w:basedOn w:val="Normal"/>
    <w:link w:val="EncabezadoCar"/>
    <w:uiPriority w:val="99"/>
    <w:unhideWhenUsed/>
    <w:rsid w:val="00C219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9D2"/>
  </w:style>
  <w:style w:type="paragraph" w:styleId="Piedepgina">
    <w:name w:val="footer"/>
    <w:basedOn w:val="Normal"/>
    <w:link w:val="PiedepginaCar"/>
    <w:uiPriority w:val="99"/>
    <w:unhideWhenUsed/>
    <w:rsid w:val="00C219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9D2"/>
  </w:style>
  <w:style w:type="table" w:styleId="Tablaconcuadrcula">
    <w:name w:val="Table Grid"/>
    <w:basedOn w:val="Tablanormal"/>
    <w:rsid w:val="001E75E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62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3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521"/>
    <w:rPr>
      <w:rFonts w:ascii="Segoe UI" w:hAnsi="Segoe UI" w:cs="Segoe UI"/>
      <w:sz w:val="18"/>
      <w:szCs w:val="18"/>
    </w:rPr>
  </w:style>
  <w:style w:type="paragraph" w:styleId="Textosinformato">
    <w:name w:val="Plain Text"/>
    <w:basedOn w:val="Normal"/>
    <w:link w:val="TextosinformatoCar"/>
    <w:rsid w:val="00875963"/>
    <w:pPr>
      <w:spacing w:after="0" w:line="240" w:lineRule="auto"/>
    </w:pPr>
    <w:rPr>
      <w:rFonts w:ascii="Courier New" w:eastAsia="Times New Roman" w:hAnsi="Courier New" w:cs="Courier New"/>
      <w:b/>
      <w:sz w:val="20"/>
      <w:szCs w:val="20"/>
      <w:lang w:val="es-AR" w:eastAsia="es-ES"/>
    </w:rPr>
  </w:style>
  <w:style w:type="character" w:customStyle="1" w:styleId="TextosinformatoCar">
    <w:name w:val="Texto sin formato Car"/>
    <w:basedOn w:val="Fuentedeprrafopredeter"/>
    <w:link w:val="Textosinformato"/>
    <w:rsid w:val="00875963"/>
    <w:rPr>
      <w:rFonts w:ascii="Courier New" w:eastAsia="Times New Roman" w:hAnsi="Courier New" w:cs="Courier New"/>
      <w:b/>
      <w:sz w:val="20"/>
      <w:szCs w:val="20"/>
      <w:lang w:val="es-AR" w:eastAsia="es-ES"/>
    </w:rPr>
  </w:style>
  <w:style w:type="paragraph" w:styleId="Textoindependiente">
    <w:name w:val="Body Text"/>
    <w:basedOn w:val="Normal"/>
    <w:link w:val="TextoindependienteCar"/>
    <w:rsid w:val="00875963"/>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Car">
    <w:name w:val="Texto independiente Car"/>
    <w:basedOn w:val="Fuentedeprrafopredeter"/>
    <w:link w:val="Textoindependiente"/>
    <w:rsid w:val="00875963"/>
    <w:rPr>
      <w:rFonts w:ascii="Arial" w:eastAsia="Times New Roman" w:hAnsi="Arial" w:cs="Times New Roman"/>
      <w:snapToGrid w:val="0"/>
      <w:sz w:val="24"/>
      <w:szCs w:val="20"/>
      <w:lang w:eastAsia="es-ES"/>
    </w:rPr>
  </w:style>
  <w:style w:type="paragraph" w:styleId="Sangra3detindependiente">
    <w:name w:val="Body Text Indent 3"/>
    <w:basedOn w:val="Normal"/>
    <w:link w:val="Sangra3detindependienteCar"/>
    <w:rsid w:val="00C144E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144EE"/>
    <w:rPr>
      <w:rFonts w:ascii="Times New Roman" w:eastAsia="Times New Roman" w:hAnsi="Times New Roman" w:cs="Times New Roman"/>
      <w:sz w:val="16"/>
      <w:szCs w:val="16"/>
      <w:lang w:eastAsia="es-ES"/>
    </w:rPr>
  </w:style>
  <w:style w:type="character" w:customStyle="1" w:styleId="textrevista1">
    <w:name w:val="text_revista1"/>
    <w:rsid w:val="00C144EE"/>
    <w:rPr>
      <w:rFonts w:ascii="Arial" w:hAnsi="Arial" w:cs="Arial" w:hint="default"/>
      <w:color w:val="666666"/>
      <w:sz w:val="18"/>
      <w:szCs w:val="18"/>
    </w:rPr>
  </w:style>
  <w:style w:type="paragraph" w:styleId="Textoindependiente3">
    <w:name w:val="Body Text 3"/>
    <w:basedOn w:val="Normal"/>
    <w:link w:val="Textoindependiente3Car"/>
    <w:rsid w:val="003558D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3558D0"/>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86208B"/>
    <w:pPr>
      <w:spacing w:after="120"/>
      <w:ind w:left="283"/>
    </w:pPr>
  </w:style>
  <w:style w:type="character" w:customStyle="1" w:styleId="SangradetextonormalCar">
    <w:name w:val="Sangría de texto normal Car"/>
    <w:basedOn w:val="Fuentedeprrafopredeter"/>
    <w:link w:val="Sangradetextonormal"/>
    <w:uiPriority w:val="99"/>
    <w:semiHidden/>
    <w:rsid w:val="0086208B"/>
  </w:style>
  <w:style w:type="paragraph" w:styleId="Sangra2detindependiente">
    <w:name w:val="Body Text Indent 2"/>
    <w:basedOn w:val="Normal"/>
    <w:link w:val="Sangra2detindependienteCar"/>
    <w:rsid w:val="00CC1EB5"/>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C1E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131">
      <w:bodyDiv w:val="1"/>
      <w:marLeft w:val="0"/>
      <w:marRight w:val="0"/>
      <w:marTop w:val="0"/>
      <w:marBottom w:val="0"/>
      <w:divBdr>
        <w:top w:val="none" w:sz="0" w:space="0" w:color="auto"/>
        <w:left w:val="none" w:sz="0" w:space="0" w:color="auto"/>
        <w:bottom w:val="none" w:sz="0" w:space="0" w:color="auto"/>
        <w:right w:val="none" w:sz="0" w:space="0" w:color="auto"/>
      </w:divBdr>
    </w:div>
    <w:div w:id="85884216">
      <w:bodyDiv w:val="1"/>
      <w:marLeft w:val="0"/>
      <w:marRight w:val="0"/>
      <w:marTop w:val="0"/>
      <w:marBottom w:val="0"/>
      <w:divBdr>
        <w:top w:val="none" w:sz="0" w:space="0" w:color="auto"/>
        <w:left w:val="none" w:sz="0" w:space="0" w:color="auto"/>
        <w:bottom w:val="none" w:sz="0" w:space="0" w:color="auto"/>
        <w:right w:val="none" w:sz="0" w:space="0" w:color="auto"/>
      </w:divBdr>
    </w:div>
    <w:div w:id="358236514">
      <w:bodyDiv w:val="1"/>
      <w:marLeft w:val="0"/>
      <w:marRight w:val="0"/>
      <w:marTop w:val="0"/>
      <w:marBottom w:val="0"/>
      <w:divBdr>
        <w:top w:val="none" w:sz="0" w:space="0" w:color="auto"/>
        <w:left w:val="none" w:sz="0" w:space="0" w:color="auto"/>
        <w:bottom w:val="none" w:sz="0" w:space="0" w:color="auto"/>
        <w:right w:val="none" w:sz="0" w:space="0" w:color="auto"/>
      </w:divBdr>
    </w:div>
    <w:div w:id="493035454">
      <w:bodyDiv w:val="1"/>
      <w:marLeft w:val="0"/>
      <w:marRight w:val="0"/>
      <w:marTop w:val="0"/>
      <w:marBottom w:val="0"/>
      <w:divBdr>
        <w:top w:val="none" w:sz="0" w:space="0" w:color="auto"/>
        <w:left w:val="none" w:sz="0" w:space="0" w:color="auto"/>
        <w:bottom w:val="none" w:sz="0" w:space="0" w:color="auto"/>
        <w:right w:val="none" w:sz="0" w:space="0" w:color="auto"/>
      </w:divBdr>
    </w:div>
    <w:div w:id="657462970">
      <w:bodyDiv w:val="1"/>
      <w:marLeft w:val="0"/>
      <w:marRight w:val="0"/>
      <w:marTop w:val="0"/>
      <w:marBottom w:val="0"/>
      <w:divBdr>
        <w:top w:val="none" w:sz="0" w:space="0" w:color="auto"/>
        <w:left w:val="none" w:sz="0" w:space="0" w:color="auto"/>
        <w:bottom w:val="none" w:sz="0" w:space="0" w:color="auto"/>
        <w:right w:val="none" w:sz="0" w:space="0" w:color="auto"/>
      </w:divBdr>
    </w:div>
    <w:div w:id="1047875326">
      <w:bodyDiv w:val="1"/>
      <w:marLeft w:val="0"/>
      <w:marRight w:val="0"/>
      <w:marTop w:val="0"/>
      <w:marBottom w:val="0"/>
      <w:divBdr>
        <w:top w:val="none" w:sz="0" w:space="0" w:color="auto"/>
        <w:left w:val="none" w:sz="0" w:space="0" w:color="auto"/>
        <w:bottom w:val="none" w:sz="0" w:space="0" w:color="auto"/>
        <w:right w:val="none" w:sz="0" w:space="0" w:color="auto"/>
      </w:divBdr>
    </w:div>
    <w:div w:id="1306546703">
      <w:bodyDiv w:val="1"/>
      <w:marLeft w:val="0"/>
      <w:marRight w:val="0"/>
      <w:marTop w:val="0"/>
      <w:marBottom w:val="0"/>
      <w:divBdr>
        <w:top w:val="none" w:sz="0" w:space="0" w:color="auto"/>
        <w:left w:val="none" w:sz="0" w:space="0" w:color="auto"/>
        <w:bottom w:val="none" w:sz="0" w:space="0" w:color="auto"/>
        <w:right w:val="none" w:sz="0" w:space="0" w:color="auto"/>
      </w:divBdr>
    </w:div>
    <w:div w:id="1362248156">
      <w:bodyDiv w:val="1"/>
      <w:marLeft w:val="0"/>
      <w:marRight w:val="0"/>
      <w:marTop w:val="0"/>
      <w:marBottom w:val="0"/>
      <w:divBdr>
        <w:top w:val="none" w:sz="0" w:space="0" w:color="auto"/>
        <w:left w:val="none" w:sz="0" w:space="0" w:color="auto"/>
        <w:bottom w:val="none" w:sz="0" w:space="0" w:color="auto"/>
        <w:right w:val="none" w:sz="0" w:space="0" w:color="auto"/>
      </w:divBdr>
    </w:div>
    <w:div w:id="1460761353">
      <w:bodyDiv w:val="1"/>
      <w:marLeft w:val="0"/>
      <w:marRight w:val="0"/>
      <w:marTop w:val="0"/>
      <w:marBottom w:val="0"/>
      <w:divBdr>
        <w:top w:val="none" w:sz="0" w:space="0" w:color="auto"/>
        <w:left w:val="none" w:sz="0" w:space="0" w:color="auto"/>
        <w:bottom w:val="none" w:sz="0" w:space="0" w:color="auto"/>
        <w:right w:val="none" w:sz="0" w:space="0" w:color="auto"/>
      </w:divBdr>
    </w:div>
    <w:div w:id="1530560302">
      <w:bodyDiv w:val="1"/>
      <w:marLeft w:val="0"/>
      <w:marRight w:val="0"/>
      <w:marTop w:val="0"/>
      <w:marBottom w:val="0"/>
      <w:divBdr>
        <w:top w:val="none" w:sz="0" w:space="0" w:color="auto"/>
        <w:left w:val="none" w:sz="0" w:space="0" w:color="auto"/>
        <w:bottom w:val="none" w:sz="0" w:space="0" w:color="auto"/>
        <w:right w:val="none" w:sz="0" w:space="0" w:color="auto"/>
      </w:divBdr>
    </w:div>
    <w:div w:id="1819613138">
      <w:bodyDiv w:val="1"/>
      <w:marLeft w:val="0"/>
      <w:marRight w:val="0"/>
      <w:marTop w:val="0"/>
      <w:marBottom w:val="0"/>
      <w:divBdr>
        <w:top w:val="none" w:sz="0" w:space="0" w:color="auto"/>
        <w:left w:val="none" w:sz="0" w:space="0" w:color="auto"/>
        <w:bottom w:val="none" w:sz="0" w:space="0" w:color="auto"/>
        <w:right w:val="none" w:sz="0" w:space="0" w:color="auto"/>
      </w:divBdr>
    </w:div>
    <w:div w:id="18348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l.gob.ar/images/stories/bes/graficos/0000000049cnt-guia_de_diagnostico_tratamiento_y_prevencion_de_la_tuberculosis_2015.pdf" TargetMode="External"/><Relationship Id="rId5" Type="http://schemas.openxmlformats.org/officeDocument/2006/relationships/settings" Target="settings.xml"/><Relationship Id="rId10" Type="http://schemas.openxmlformats.org/officeDocument/2006/relationships/hyperlink" Target="http://www.icf.uab.es/WebsietesDB/shortcut.asp?refid=90426" TargetMode="External"/><Relationship Id="rId4" Type="http://schemas.microsoft.com/office/2007/relationships/stylesWithEffects" Target="stylesWithEffects.xml"/><Relationship Id="rId9" Type="http://schemas.openxmlformats.org/officeDocument/2006/relationships/hyperlink" Target="https://guiafitness.com/calculadoras/im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50D0-0729-4AA4-8562-6289BC0A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21826</Words>
  <Characters>120047</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141590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dc:creator>
  <cp:lastModifiedBy>pcc</cp:lastModifiedBy>
  <cp:revision>9</cp:revision>
  <cp:lastPrinted>2019-03-25T23:39:00Z</cp:lastPrinted>
  <dcterms:created xsi:type="dcterms:W3CDTF">2019-03-26T00:01:00Z</dcterms:created>
  <dcterms:modified xsi:type="dcterms:W3CDTF">2019-03-26T00:04:00Z</dcterms:modified>
</cp:coreProperties>
</file>